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59"/>
        <w:tblW w:w="0" w:type="auto"/>
        <w:tblLook w:val="04A0"/>
      </w:tblPr>
      <w:tblGrid>
        <w:gridCol w:w="11667"/>
        <w:gridCol w:w="378"/>
        <w:gridCol w:w="377"/>
        <w:gridCol w:w="377"/>
        <w:gridCol w:w="377"/>
      </w:tblGrid>
      <w:tr w:rsidR="00305B21" w:rsidTr="00DE5A60">
        <w:tc>
          <w:tcPr>
            <w:tcW w:w="0" w:type="auto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05B21" w:rsidRPr="00305B21" w:rsidRDefault="00305B21" w:rsidP="00DE5A60">
            <w:pPr>
              <w:rPr>
                <w:b/>
              </w:rPr>
            </w:pPr>
            <w:r w:rsidRPr="00305B21">
              <w:rPr>
                <w:b/>
              </w:rPr>
              <w:t>Common Core State Standards</w:t>
            </w:r>
            <w:r w:rsidR="00E3211C">
              <w:rPr>
                <w:b/>
              </w:rPr>
              <w:t xml:space="preserve"> for English Language Arts</w:t>
            </w:r>
            <w:r w:rsidRPr="00305B21">
              <w:rPr>
                <w:b/>
              </w:rPr>
              <w:t xml:space="preserve">—Grades </w:t>
            </w:r>
            <w:r w:rsidR="003E4E73">
              <w:rPr>
                <w:b/>
              </w:rPr>
              <w:t>11-</w:t>
            </w:r>
            <w:r w:rsidR="00C13A43">
              <w:rPr>
                <w:b/>
              </w:rPr>
              <w:t>12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05B21" w:rsidRPr="00305B21" w:rsidRDefault="00305B21" w:rsidP="00DE5A60">
            <w:pPr>
              <w:jc w:val="center"/>
              <w:rPr>
                <w:b/>
              </w:rPr>
            </w:pPr>
            <w:r>
              <w:rPr>
                <w:b/>
              </w:rPr>
              <w:t>Term/Quarter</w:t>
            </w:r>
          </w:p>
        </w:tc>
      </w:tr>
      <w:tr w:rsidR="00305B21" w:rsidTr="00DE5A60">
        <w:tc>
          <w:tcPr>
            <w:tcW w:w="0" w:type="auto"/>
            <w:shd w:val="pct12" w:color="auto" w:fill="auto"/>
          </w:tcPr>
          <w:p w:rsidR="003E152D" w:rsidRPr="00305B21" w:rsidRDefault="003E152D" w:rsidP="00DE5A60">
            <w:pPr>
              <w:rPr>
                <w:b/>
              </w:rPr>
            </w:pPr>
            <w:r w:rsidRPr="00305B21">
              <w:rPr>
                <w:b/>
              </w:rPr>
              <w:t>Reading Literature (RL)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E152D" w:rsidRPr="00305B21" w:rsidRDefault="003E152D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E152D" w:rsidRPr="00305B21" w:rsidRDefault="003E152D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E152D" w:rsidRPr="00305B21" w:rsidRDefault="003E152D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E152D" w:rsidRPr="00305B21" w:rsidRDefault="003E152D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305B21" w:rsidTr="00DE5A60">
        <w:tc>
          <w:tcPr>
            <w:tcW w:w="0" w:type="auto"/>
          </w:tcPr>
          <w:p w:rsidR="003E152D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.1</w:t>
            </w:r>
            <w:r w:rsidR="003E152D">
              <w:t xml:space="preserve"> 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5A783F" w:rsidRPr="005A783F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5A783F" w:rsidRPr="005A783F">
              <w:t>Cite strong and thorough textual evidence to support analysis of what the text</w:t>
            </w:r>
            <w:r w:rsidR="005A783F">
              <w:t xml:space="preserve"> </w:t>
            </w:r>
            <w:r w:rsidR="005A783F" w:rsidRPr="005A783F">
              <w:t>says explicitly as well as inferences drawn from the text, including determining</w:t>
            </w:r>
            <w:r w:rsidR="00E12391">
              <w:t xml:space="preserve"> </w:t>
            </w:r>
            <w:r w:rsidR="005A783F" w:rsidRPr="005A783F">
              <w:t>where the text leaves matters uncertain.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E12391" w:rsidRPr="00E12391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.2</w:t>
            </w:r>
            <w:r w:rsidR="003E152D">
              <w:t xml:space="preserve"> 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Determine two or more themes or central ideas of a text and analyze their</w:t>
            </w:r>
            <w:r w:rsidR="00E12391">
              <w:t xml:space="preserve"> </w:t>
            </w:r>
            <w:r w:rsidR="00E12391" w:rsidRPr="00E12391">
              <w:t>development over the course of the text, including how they interact and build</w:t>
            </w:r>
            <w:r w:rsidR="00E12391">
              <w:t xml:space="preserve"> </w:t>
            </w:r>
            <w:r w:rsidR="00E12391" w:rsidRPr="00E12391">
              <w:t>on one another to produce a complex account; provide an objective summary of</w:t>
            </w:r>
          </w:p>
          <w:p w:rsidR="003E152D" w:rsidRDefault="00E12391" w:rsidP="00DE5A60">
            <w:proofErr w:type="gramStart"/>
            <w:r w:rsidRPr="00E12391">
              <w:t>the</w:t>
            </w:r>
            <w:proofErr w:type="gramEnd"/>
            <w:r w:rsidRPr="00E12391">
              <w:t xml:space="preserve"> text.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3E152D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.3</w:t>
            </w:r>
            <w:r w:rsidR="003E152D">
              <w:t xml:space="preserve"> 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Analyze the impact of the author’s choices regarding how to develop and</w:t>
            </w:r>
            <w:r w:rsidR="00E12391">
              <w:t xml:space="preserve"> </w:t>
            </w:r>
            <w:r w:rsidR="00E12391" w:rsidRPr="00E12391">
              <w:t>relate elements of a story or drama (e.g., where a story is set, how the action is</w:t>
            </w:r>
            <w:r w:rsidR="00E12391">
              <w:t xml:space="preserve"> </w:t>
            </w:r>
            <w:r w:rsidR="00E12391" w:rsidRPr="00E12391">
              <w:t>ordered, how the characters are introduced and developed).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3E152D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.4</w:t>
            </w:r>
            <w:r w:rsidR="003E152D">
              <w:t xml:space="preserve"> 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Determine the meaning of words and phrases as they are used in the text,</w:t>
            </w:r>
            <w:r w:rsidR="00E12391">
              <w:t xml:space="preserve"> </w:t>
            </w:r>
            <w:r w:rsidR="00E12391" w:rsidRPr="00E12391">
              <w:t>including figurative and connotative meanings; analyze the impact of specific</w:t>
            </w:r>
            <w:r w:rsidR="00E12391">
              <w:t xml:space="preserve"> </w:t>
            </w:r>
            <w:r w:rsidR="00E12391" w:rsidRPr="00E12391">
              <w:t>word choices on meaning and tone, including words with multiple meanings or</w:t>
            </w:r>
            <w:r w:rsidR="00E12391">
              <w:t xml:space="preserve"> </w:t>
            </w:r>
            <w:r w:rsidR="00E12391" w:rsidRPr="00E12391">
              <w:t>language that is particularly fresh, engaging, or beautiful. (Include Shakespeare</w:t>
            </w:r>
            <w:r w:rsidR="00E12391">
              <w:t xml:space="preserve"> </w:t>
            </w:r>
            <w:r w:rsidR="00E12391" w:rsidRPr="00E12391">
              <w:t>as well as other authors.)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3E152D" w:rsidRDefault="003E152D" w:rsidP="00DE5A60">
            <w:r w:rsidRPr="004547F4">
              <w:rPr>
                <w:b/>
              </w:rPr>
              <w:t>RL.</w:t>
            </w:r>
            <w:r w:rsidR="00347A61">
              <w:rPr>
                <w:b/>
              </w:rPr>
              <w:t>11-12</w:t>
            </w:r>
            <w:r w:rsidRPr="004547F4">
              <w:rPr>
                <w:b/>
              </w:rPr>
              <w:t>.5</w:t>
            </w:r>
            <w:r>
              <w:t xml:space="preserve">   </w:t>
            </w:r>
            <w:r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Analyze how an author’s choices concerning how to structure specific parts of</w:t>
            </w:r>
            <w:r w:rsidR="00E12391">
              <w:t xml:space="preserve"> </w:t>
            </w:r>
            <w:r w:rsidR="00E12391" w:rsidRPr="00E12391">
              <w:t>a text (e.g., the choice of where to begin or end a story, the choice to provide a</w:t>
            </w:r>
            <w:r w:rsidR="00E12391">
              <w:t xml:space="preserve"> </w:t>
            </w:r>
            <w:r w:rsidR="00E12391" w:rsidRPr="00E12391">
              <w:t>comedic or tragic resolution) contribute to its overall structure and meaning as</w:t>
            </w:r>
            <w:r w:rsidR="00E12391">
              <w:t xml:space="preserve"> </w:t>
            </w:r>
            <w:r w:rsidR="00E12391" w:rsidRPr="00E12391">
              <w:t>well as its aesthetic impact.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3E152D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.6</w:t>
            </w:r>
            <w:r w:rsidR="003E152D">
              <w:t xml:space="preserve"> 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Analyze a case in which grasping point of view requires distinguishing what is</w:t>
            </w:r>
            <w:r w:rsidR="00E12391">
              <w:t xml:space="preserve"> </w:t>
            </w:r>
            <w:r w:rsidR="00E12391" w:rsidRPr="00E12391">
              <w:t>directly stated in a text from what is really meant (e.g., satire, sarcasm, irony, or</w:t>
            </w:r>
            <w:r w:rsidR="00E12391">
              <w:t xml:space="preserve"> </w:t>
            </w:r>
            <w:r w:rsidR="00E12391" w:rsidRPr="00E12391">
              <w:t>understatement).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E12391" w:rsidRPr="00E12391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 xml:space="preserve">.7 </w:t>
            </w:r>
            <w:r w:rsidR="003E152D">
              <w:t xml:space="preserve">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Analyze multiple interpretations of a story, drama, or poem (e.g., recorded or live</w:t>
            </w:r>
            <w:r w:rsidR="00E12391">
              <w:t xml:space="preserve"> </w:t>
            </w:r>
            <w:r w:rsidR="00E12391" w:rsidRPr="00E12391">
              <w:t>production of a play or recorded novel or poetry)</w:t>
            </w:r>
            <w:proofErr w:type="gramStart"/>
            <w:r w:rsidR="00E12391" w:rsidRPr="00E12391">
              <w:t>,</w:t>
            </w:r>
            <w:proofErr w:type="gramEnd"/>
            <w:r w:rsidR="00E12391" w:rsidRPr="00E12391">
              <w:t xml:space="preserve"> evaluating how each version</w:t>
            </w:r>
            <w:r w:rsidR="00E12391">
              <w:t xml:space="preserve"> </w:t>
            </w:r>
            <w:r w:rsidR="00E12391" w:rsidRPr="00E12391">
              <w:t>interprets the source text. (Include at least one play by Shakespeare and one</w:t>
            </w:r>
          </w:p>
          <w:p w:rsidR="003E152D" w:rsidRDefault="00E12391" w:rsidP="00DE5A60">
            <w:proofErr w:type="gramStart"/>
            <w:r w:rsidRPr="00E12391">
              <w:t>play</w:t>
            </w:r>
            <w:proofErr w:type="gramEnd"/>
            <w:r w:rsidRPr="00E12391">
              <w:t xml:space="preserve"> by an American dramatist.)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3E152D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.8</w:t>
            </w:r>
            <w:r w:rsidR="003E152D">
              <w:t xml:space="preserve">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3E152D" w:rsidRPr="003E152D">
              <w:t>(Not applicable to literature)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</w:tcPr>
          <w:p w:rsidR="003E152D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.9</w:t>
            </w:r>
            <w:r w:rsidR="003E152D">
              <w:t xml:space="preserve"> 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Demonstrate knowledge of eighteenth-, nineteenth- and early-twentieth-century</w:t>
            </w:r>
            <w:r w:rsidR="00E12391">
              <w:t xml:space="preserve"> </w:t>
            </w:r>
            <w:r w:rsidR="00E12391" w:rsidRPr="00E12391">
              <w:t>foundational works of American literature, including how two or more texts from</w:t>
            </w:r>
            <w:r w:rsidR="00E12391">
              <w:t xml:space="preserve"> </w:t>
            </w:r>
            <w:r w:rsidR="00E12391" w:rsidRPr="00E12391">
              <w:t xml:space="preserve">the same period </w:t>
            </w:r>
            <w:proofErr w:type="gramStart"/>
            <w:r w:rsidR="00E12391" w:rsidRPr="00E12391">
              <w:t>treat</w:t>
            </w:r>
            <w:proofErr w:type="gramEnd"/>
            <w:r w:rsidR="00E12391" w:rsidRPr="00E12391">
              <w:t xml:space="preserve"> similar themes or topics.</w:t>
            </w:r>
          </w:p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  <w:tc>
          <w:tcPr>
            <w:tcW w:w="0" w:type="auto"/>
          </w:tcPr>
          <w:p w:rsidR="003E152D" w:rsidRDefault="003E152D" w:rsidP="00DE5A60"/>
        </w:tc>
      </w:tr>
      <w:tr w:rsidR="003E152D" w:rsidTr="00DE5A60">
        <w:tc>
          <w:tcPr>
            <w:tcW w:w="0" w:type="auto"/>
            <w:tcBorders>
              <w:bottom w:val="single" w:sz="4" w:space="0" w:color="auto"/>
            </w:tcBorders>
          </w:tcPr>
          <w:p w:rsidR="00E12391" w:rsidRPr="00E12391" w:rsidRDefault="00347A61" w:rsidP="00DE5A60">
            <w:r>
              <w:rPr>
                <w:b/>
              </w:rPr>
              <w:t>RL.11-12</w:t>
            </w:r>
            <w:r w:rsidR="003E152D" w:rsidRPr="004547F4">
              <w:rPr>
                <w:b/>
              </w:rPr>
              <w:t>.10</w:t>
            </w:r>
            <w:r w:rsidR="003E152D">
              <w:t xml:space="preserve">   </w:t>
            </w:r>
            <w:r w:rsidR="003E152D" w:rsidRPr="003E152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By the end of grade 11, read and comprehend literature, including stories,</w:t>
            </w:r>
            <w:r w:rsidR="00E12391">
              <w:t xml:space="preserve"> </w:t>
            </w:r>
            <w:r w:rsidR="00E12391" w:rsidRPr="00E12391">
              <w:t>dramas, and poems, in the grades 11–CCR text complexity band proficiently, with</w:t>
            </w:r>
            <w:r w:rsidR="00E12391">
              <w:t xml:space="preserve"> </w:t>
            </w:r>
            <w:r w:rsidR="00E12391" w:rsidRPr="00E12391">
              <w:t>scaffolding as needed at the high end of the range.</w:t>
            </w:r>
          </w:p>
          <w:p w:rsidR="003E152D" w:rsidRDefault="00E12391" w:rsidP="00DE5A60">
            <w:r w:rsidRPr="00E12391">
              <w:t>By the end of grade 12, read and comprehend literature, including stories,</w:t>
            </w:r>
            <w:r>
              <w:t xml:space="preserve"> </w:t>
            </w:r>
            <w:r w:rsidRPr="00E12391">
              <w:t>dramas, and poems, at the high end of the grades 11–CCR text complexity band</w:t>
            </w:r>
            <w:r>
              <w:t xml:space="preserve"> </w:t>
            </w:r>
            <w:r w:rsidRPr="00E12391">
              <w:t>independently and proficiently.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152D" w:rsidRDefault="003E152D" w:rsidP="00DE5A60"/>
        </w:tc>
        <w:tc>
          <w:tcPr>
            <w:tcW w:w="0" w:type="auto"/>
            <w:tcBorders>
              <w:bottom w:val="single" w:sz="4" w:space="0" w:color="auto"/>
            </w:tcBorders>
          </w:tcPr>
          <w:p w:rsidR="003E152D" w:rsidRDefault="003E152D" w:rsidP="00DE5A60"/>
        </w:tc>
        <w:tc>
          <w:tcPr>
            <w:tcW w:w="0" w:type="auto"/>
            <w:tcBorders>
              <w:bottom w:val="single" w:sz="4" w:space="0" w:color="auto"/>
            </w:tcBorders>
          </w:tcPr>
          <w:p w:rsidR="003E152D" w:rsidRDefault="003E152D" w:rsidP="00DE5A60"/>
        </w:tc>
        <w:tc>
          <w:tcPr>
            <w:tcW w:w="0" w:type="auto"/>
            <w:tcBorders>
              <w:bottom w:val="single" w:sz="4" w:space="0" w:color="auto"/>
            </w:tcBorders>
          </w:tcPr>
          <w:p w:rsidR="003E152D" w:rsidRDefault="003E152D" w:rsidP="00DE5A60"/>
        </w:tc>
      </w:tr>
      <w:tr w:rsidR="00DA0B08" w:rsidTr="00DE5A60">
        <w:tc>
          <w:tcPr>
            <w:tcW w:w="0" w:type="auto"/>
            <w:shd w:val="pct12" w:color="auto" w:fill="auto"/>
          </w:tcPr>
          <w:p w:rsidR="00DA0B08" w:rsidRPr="00305B21" w:rsidRDefault="00DA0B08" w:rsidP="00DE5A60">
            <w:pPr>
              <w:rPr>
                <w:b/>
              </w:rPr>
            </w:pPr>
            <w:r w:rsidRPr="00305B21">
              <w:rPr>
                <w:b/>
              </w:rPr>
              <w:t>Reading Standards for Informational Text</w:t>
            </w:r>
            <w:r w:rsidR="00305B21" w:rsidRPr="00305B21">
              <w:rPr>
                <w:b/>
              </w:rPr>
              <w:t xml:space="preserve"> (RI)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DA0B08" w:rsidRPr="00305B21" w:rsidRDefault="00DA0B08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DA0B08" w:rsidRPr="00305B21" w:rsidRDefault="00DA0B08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DA0B08" w:rsidRPr="00305B21" w:rsidRDefault="00DA0B08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DA0B08" w:rsidRPr="00305B21" w:rsidRDefault="00DA0B08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DA0B08" w:rsidTr="00DE5A60">
        <w:tc>
          <w:tcPr>
            <w:tcW w:w="0" w:type="auto"/>
          </w:tcPr>
          <w:p w:rsidR="00725502" w:rsidRDefault="004B46A6" w:rsidP="00DE5A60">
            <w:r>
              <w:rPr>
                <w:b/>
              </w:rPr>
              <w:t>RI.11-12</w:t>
            </w:r>
            <w:r w:rsidR="00DA0B08" w:rsidRPr="004547F4">
              <w:rPr>
                <w:b/>
              </w:rPr>
              <w:t>.1</w:t>
            </w:r>
            <w:r w:rsidR="00DA0B08">
              <w:t xml:space="preserve">   </w:t>
            </w:r>
            <w:r w:rsidR="00DA0B08"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E12391" w:rsidRPr="00E12391">
              <w:t>Cite strong and thorough textual evidence to support analysis of what the text</w:t>
            </w:r>
            <w:r w:rsidR="00E12391">
              <w:t xml:space="preserve"> </w:t>
            </w:r>
            <w:r w:rsidR="00E12391" w:rsidRPr="00E12391">
              <w:t>says explicitly as well as inferences drawn from the text, including determining</w:t>
            </w:r>
            <w:r w:rsidR="00E12391">
              <w:t xml:space="preserve"> </w:t>
            </w:r>
            <w:r w:rsidR="00E12391" w:rsidRPr="00E12391">
              <w:t>where the text leaves matters uncertain.</w:t>
            </w:r>
          </w:p>
        </w:tc>
        <w:tc>
          <w:tcPr>
            <w:tcW w:w="0" w:type="auto"/>
          </w:tcPr>
          <w:p w:rsidR="00DA0B08" w:rsidRDefault="00DA0B08" w:rsidP="00DE5A60"/>
        </w:tc>
        <w:tc>
          <w:tcPr>
            <w:tcW w:w="0" w:type="auto"/>
          </w:tcPr>
          <w:p w:rsidR="00DA0B08" w:rsidRDefault="00DA0B08" w:rsidP="00DE5A60"/>
        </w:tc>
        <w:tc>
          <w:tcPr>
            <w:tcW w:w="0" w:type="auto"/>
          </w:tcPr>
          <w:p w:rsidR="00DA0B08" w:rsidRDefault="00DA0B08" w:rsidP="00DE5A60"/>
        </w:tc>
        <w:tc>
          <w:tcPr>
            <w:tcW w:w="0" w:type="auto"/>
          </w:tcPr>
          <w:p w:rsidR="00DA0B08" w:rsidRDefault="00DA0B08" w:rsidP="00DE5A60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.2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Determine two or more central ideas of a text and analyze their development</w:t>
            </w:r>
            <w:r>
              <w:t xml:space="preserve"> </w:t>
            </w:r>
            <w:r w:rsidRPr="00E12391">
              <w:t>over the course of the text, including how they interact and build on one another</w:t>
            </w:r>
            <w:r>
              <w:t xml:space="preserve"> </w:t>
            </w:r>
            <w:r w:rsidRPr="00E12391">
              <w:t>to provide a complex analysis; provide an objective summary of the text.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</w:tbl>
    <w:p w:rsidR="00C76E2D" w:rsidRDefault="00C76E2D">
      <w:r>
        <w:br w:type="page"/>
      </w:r>
    </w:p>
    <w:tbl>
      <w:tblPr>
        <w:tblStyle w:val="TableGrid"/>
        <w:tblpPr w:leftFromText="180" w:rightFromText="180" w:vertAnchor="text" w:horzAnchor="margin" w:tblpY="-59"/>
        <w:tblW w:w="0" w:type="auto"/>
        <w:tblLook w:val="04A0"/>
      </w:tblPr>
      <w:tblGrid>
        <w:gridCol w:w="11864"/>
        <w:gridCol w:w="328"/>
        <w:gridCol w:w="328"/>
        <w:gridCol w:w="328"/>
        <w:gridCol w:w="328"/>
      </w:tblGrid>
      <w:tr w:rsidR="00C76E2D" w:rsidTr="00C76E2D">
        <w:tc>
          <w:tcPr>
            <w:tcW w:w="0" w:type="auto"/>
            <w:shd w:val="clear" w:color="auto" w:fill="D9D9D9" w:themeFill="background1" w:themeFillShade="D9"/>
          </w:tcPr>
          <w:p w:rsidR="00C76E2D" w:rsidRPr="00305B21" w:rsidRDefault="00C76E2D" w:rsidP="00C76E2D">
            <w:pPr>
              <w:rPr>
                <w:b/>
              </w:rPr>
            </w:pPr>
            <w:r w:rsidRPr="00305B21">
              <w:rPr>
                <w:b/>
              </w:rPr>
              <w:lastRenderedPageBreak/>
              <w:t>Reading Standards for Informational Text (RI)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.3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Analyze a complex set of ideas or sequence of events and explain how specific</w:t>
            </w:r>
            <w:r>
              <w:t xml:space="preserve"> </w:t>
            </w:r>
            <w:r w:rsidRPr="00E12391">
              <w:t>individuals, ideas, or events interact and develop over the course of the text.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E12391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.4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Determine the meaning of words and phrases as they are used in a text,</w:t>
            </w:r>
            <w:r>
              <w:t xml:space="preserve"> </w:t>
            </w:r>
            <w:r w:rsidRPr="00E12391">
              <w:t>including figurative, connotative, and technical meanings; analyze how an author</w:t>
            </w:r>
            <w:r>
              <w:t xml:space="preserve"> </w:t>
            </w:r>
            <w:r w:rsidRPr="00E12391">
              <w:t>uses and refines the meaning of a key term or terms over the course of a text</w:t>
            </w:r>
          </w:p>
          <w:p w:rsidR="00C76E2D" w:rsidRDefault="00C76E2D" w:rsidP="00C76E2D">
            <w:r w:rsidRPr="00E12391">
              <w:t xml:space="preserve">(e.g., how Madison defines </w:t>
            </w:r>
            <w:r w:rsidRPr="00E12391">
              <w:rPr>
                <w:i/>
                <w:iCs/>
              </w:rPr>
              <w:t xml:space="preserve">faction </w:t>
            </w:r>
            <w:r w:rsidRPr="00E12391">
              <w:t xml:space="preserve">in </w:t>
            </w:r>
            <w:r w:rsidRPr="00E12391">
              <w:rPr>
                <w:i/>
                <w:iCs/>
              </w:rPr>
              <w:t xml:space="preserve">Federalist </w:t>
            </w:r>
            <w:r w:rsidRPr="00E12391">
              <w:t>No. 10).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.5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Analyze and evaluate the effectiveness of the structure an author uses in his or</w:t>
            </w:r>
            <w:r>
              <w:t xml:space="preserve"> </w:t>
            </w:r>
            <w:r w:rsidRPr="00E12391">
              <w:t>her exposition or argument, including whether the structure makes points clear,</w:t>
            </w:r>
            <w:r>
              <w:t xml:space="preserve"> </w:t>
            </w:r>
            <w:r w:rsidRPr="00E12391">
              <w:t>convincing, and engaging.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.6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Determine an author’s point of view or purpose in a text in which the rhetoric is</w:t>
            </w:r>
            <w:r>
              <w:t xml:space="preserve"> </w:t>
            </w:r>
            <w:r w:rsidRPr="00E12391">
              <w:t>particularly effective, analyzing how style and content contribute to the power,</w:t>
            </w:r>
            <w:r>
              <w:t xml:space="preserve"> </w:t>
            </w:r>
            <w:r w:rsidRPr="00E12391">
              <w:t>persuasiveness, or beauty of the text.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.7</w:t>
            </w:r>
            <w:r>
              <w:t xml:space="preserve">   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Integrate and evaluate multiple sources of information presented in different</w:t>
            </w:r>
            <w:r>
              <w:t xml:space="preserve"> </w:t>
            </w:r>
            <w:r w:rsidRPr="00E12391">
              <w:t>media or formats (e.g., visually, quantitatively) as well as in words in order to</w:t>
            </w:r>
            <w:r>
              <w:t xml:space="preserve"> </w:t>
            </w:r>
            <w:r w:rsidRPr="00E12391">
              <w:t>address a question or solve a problem.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E12391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.8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Delineate and evaluate the reasoning in seminal U.S. texts, including the</w:t>
            </w:r>
            <w:r>
              <w:t xml:space="preserve"> </w:t>
            </w:r>
            <w:r w:rsidRPr="00E12391">
              <w:t>application of constitutional principles and use of legal reasoning (e.g., in U.S.</w:t>
            </w:r>
            <w:r>
              <w:t xml:space="preserve"> </w:t>
            </w:r>
            <w:r w:rsidRPr="00E12391">
              <w:t>Supreme Court majority opinions and dissents) and the premises, purposes,</w:t>
            </w:r>
          </w:p>
          <w:p w:rsidR="00C76E2D" w:rsidRDefault="00C76E2D" w:rsidP="00C76E2D">
            <w:proofErr w:type="gramStart"/>
            <w:r w:rsidRPr="00E12391">
              <w:t>and</w:t>
            </w:r>
            <w:proofErr w:type="gramEnd"/>
            <w:r w:rsidRPr="00E12391">
              <w:t xml:space="preserve"> arguments in works of public advocacy (e.g., </w:t>
            </w:r>
            <w:r w:rsidRPr="00E12391">
              <w:rPr>
                <w:i/>
                <w:iCs/>
              </w:rPr>
              <w:t xml:space="preserve">The Federalist, </w:t>
            </w:r>
            <w:r w:rsidRPr="00E12391">
              <w:t>presidential</w:t>
            </w:r>
            <w:r>
              <w:t xml:space="preserve"> </w:t>
            </w:r>
            <w:r w:rsidRPr="00E12391">
              <w:t>addresses).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.9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Analyze seventeenth-, eighteenth-, and nineteenth-century foundational U.S.</w:t>
            </w:r>
            <w:r>
              <w:t xml:space="preserve"> </w:t>
            </w:r>
            <w:r w:rsidRPr="00E12391">
              <w:t>documents of historical and literary significance (including The Declaration of</w:t>
            </w:r>
            <w:r>
              <w:t xml:space="preserve"> </w:t>
            </w:r>
            <w:r w:rsidRPr="00E12391">
              <w:t>Independence, the Preamble to the Constitution, the Bill of Rights, and Lincoln’s</w:t>
            </w:r>
            <w:r>
              <w:t xml:space="preserve"> </w:t>
            </w:r>
            <w:r w:rsidRPr="00E12391">
              <w:t>Second Inaugural Address) for their themes, purposes, and rhetorical features.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  <w:tcBorders>
              <w:bottom w:val="single" w:sz="4" w:space="0" w:color="auto"/>
            </w:tcBorders>
          </w:tcPr>
          <w:p w:rsidR="00C76E2D" w:rsidRDefault="00C76E2D" w:rsidP="00C76E2D">
            <w:r>
              <w:rPr>
                <w:b/>
              </w:rPr>
              <w:t>RI.11-12</w:t>
            </w:r>
            <w:r w:rsidRPr="004547F4">
              <w:rPr>
                <w:b/>
              </w:rPr>
              <w:t>.10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 xml:space="preserve">By the end of grade </w:t>
            </w:r>
            <w:proofErr w:type="gramStart"/>
            <w:r w:rsidRPr="00E12391">
              <w:t>11,</w:t>
            </w:r>
            <w:proofErr w:type="gramEnd"/>
            <w:r w:rsidRPr="00E12391">
              <w:t xml:space="preserve"> read and comprehend literary nonfiction in the grades</w:t>
            </w:r>
            <w:r>
              <w:t xml:space="preserve"> </w:t>
            </w:r>
            <w:r w:rsidRPr="00E12391">
              <w:t>11–CCR text complexity band proficiently, with scaffolding as needed at the high</w:t>
            </w:r>
            <w:r>
              <w:t xml:space="preserve"> </w:t>
            </w:r>
            <w:r w:rsidRPr="00E12391">
              <w:t>end of the range.</w:t>
            </w:r>
            <w:r>
              <w:t xml:space="preserve"> </w:t>
            </w:r>
            <w:r w:rsidRPr="00E12391">
              <w:t>By the end of grade 12, read and comprehend literary nonfiction at the high end</w:t>
            </w:r>
            <w:r>
              <w:t xml:space="preserve"> </w:t>
            </w:r>
            <w:r w:rsidRPr="00E12391">
              <w:t>of the grades 11–CCR text complexity band independently and proficiently.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E2D" w:rsidRDefault="00C76E2D" w:rsidP="00C76E2D"/>
        </w:tc>
        <w:tc>
          <w:tcPr>
            <w:tcW w:w="0" w:type="auto"/>
            <w:tcBorders>
              <w:bottom w:val="single" w:sz="4" w:space="0" w:color="auto"/>
            </w:tcBorders>
          </w:tcPr>
          <w:p w:rsidR="00C76E2D" w:rsidRDefault="00C76E2D" w:rsidP="00C76E2D"/>
        </w:tc>
        <w:tc>
          <w:tcPr>
            <w:tcW w:w="0" w:type="auto"/>
            <w:tcBorders>
              <w:bottom w:val="single" w:sz="4" w:space="0" w:color="auto"/>
            </w:tcBorders>
          </w:tcPr>
          <w:p w:rsidR="00C76E2D" w:rsidRDefault="00C76E2D" w:rsidP="00C76E2D"/>
        </w:tc>
        <w:tc>
          <w:tcPr>
            <w:tcW w:w="0" w:type="auto"/>
            <w:tcBorders>
              <w:bottom w:val="single" w:sz="4" w:space="0" w:color="auto"/>
            </w:tcBorders>
          </w:tcPr>
          <w:p w:rsidR="00C76E2D" w:rsidRDefault="00C76E2D" w:rsidP="00C76E2D"/>
        </w:tc>
      </w:tr>
      <w:tr w:rsidR="00C76E2D" w:rsidTr="00DE5A60">
        <w:tc>
          <w:tcPr>
            <w:tcW w:w="0" w:type="auto"/>
            <w:shd w:val="pct12" w:color="auto" w:fill="auto"/>
          </w:tcPr>
          <w:p w:rsidR="00C76E2D" w:rsidRPr="00305B21" w:rsidRDefault="00C76E2D" w:rsidP="00C76E2D">
            <w:pPr>
              <w:rPr>
                <w:b/>
              </w:rPr>
            </w:pPr>
            <w:r w:rsidRPr="00305B21">
              <w:rPr>
                <w:b/>
              </w:rPr>
              <w:t>Writing Standards</w:t>
            </w:r>
            <w:r>
              <w:rPr>
                <w:b/>
              </w:rPr>
              <w:t xml:space="preserve"> (W)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W.11-12</w:t>
            </w:r>
            <w:r w:rsidRPr="004547F4">
              <w:rPr>
                <w:b/>
              </w:rPr>
              <w:t>.1</w:t>
            </w:r>
            <w:r>
              <w:t xml:space="preserve">   </w:t>
            </w:r>
            <w:r w:rsidRPr="00DA0B0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E12391">
              <w:t>Write arguments to support claims in an analysis of substantive topics or texts,</w:t>
            </w:r>
            <w:r>
              <w:t xml:space="preserve"> </w:t>
            </w:r>
            <w:r w:rsidRPr="00E12391">
              <w:t>using valid reasoning and relevant and sufficient evidence.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a. Introduce precise, knowledgeable claim(s), establish the significance of the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claim(s), distinguish the claim(s) from alternate or opposing claims, and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create an organization that logically sequences claim(s), counterclaims,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reasons, and evidence.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b. Develop claim(s) and counterclaims fairly and thoroughly, supplying the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most relevant evidence for each while pointing out the strengths and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limitations of both in a manner that anticipates the audience’s knowledge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level, concerns, values, and possible biases.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D33E1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c. Use words, phrases, and clauses as well as varied syntax to link the major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sections of the text, create cohesion, and clarify the relationships between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claim(s) and reasons, between reasons and evidence, and between claim(s)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and counterclaims.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C76E2D">
        <w:trPr>
          <w:trHeight w:val="617"/>
        </w:trPr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d. Establish and maintain a formal style and objective tone while attending to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the norms and conventions of the discipline in which they are writing.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e. Provide a concluding statement or section that follows from and supports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the argument presented.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W.11-12</w:t>
            </w:r>
            <w:r w:rsidRPr="004547F4">
              <w:rPr>
                <w:b/>
              </w:rPr>
              <w:t>.2</w:t>
            </w:r>
            <w:r>
              <w:t xml:space="preserve">   </w:t>
            </w:r>
            <w:r w:rsidRPr="0043266C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5590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5590">
              <w:t>Write informative/explanatory texts to examine and convey complex ideas,</w:t>
            </w:r>
            <w:r>
              <w:t xml:space="preserve"> </w:t>
            </w:r>
            <w:r w:rsidRPr="00C15590">
              <w:t>concepts, and information clearly and accurately through the effective selection,</w:t>
            </w:r>
            <w:r>
              <w:t xml:space="preserve"> </w:t>
            </w:r>
            <w:r w:rsidRPr="00C15590">
              <w:t>organization, and analysis of content.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</w:tbl>
    <w:p w:rsidR="00C76E2D" w:rsidRDefault="00C76E2D"/>
    <w:tbl>
      <w:tblPr>
        <w:tblStyle w:val="TableGrid"/>
        <w:tblpPr w:leftFromText="180" w:rightFromText="180" w:vertAnchor="text" w:horzAnchor="margin" w:tblpY="-59"/>
        <w:tblW w:w="0" w:type="auto"/>
        <w:tblLook w:val="04A0"/>
      </w:tblPr>
      <w:tblGrid>
        <w:gridCol w:w="11864"/>
        <w:gridCol w:w="328"/>
        <w:gridCol w:w="328"/>
        <w:gridCol w:w="328"/>
        <w:gridCol w:w="328"/>
      </w:tblGrid>
      <w:tr w:rsidR="00C76E2D" w:rsidTr="00C76E2D">
        <w:tc>
          <w:tcPr>
            <w:tcW w:w="0" w:type="auto"/>
            <w:shd w:val="clear" w:color="auto" w:fill="D9D9D9" w:themeFill="background1" w:themeFillShade="D9"/>
          </w:tcPr>
          <w:p w:rsidR="00C76E2D" w:rsidRPr="00305B21" w:rsidRDefault="00C76E2D" w:rsidP="00C76E2D">
            <w:pPr>
              <w:rPr>
                <w:b/>
              </w:rPr>
            </w:pPr>
            <w:r w:rsidRPr="00305B21">
              <w:rPr>
                <w:b/>
              </w:rPr>
              <w:lastRenderedPageBreak/>
              <w:t>Writing Standards</w:t>
            </w:r>
            <w:r>
              <w:rPr>
                <w:b/>
              </w:rPr>
              <w:t xml:space="preserve"> (W)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a. Introduce a topic; organize complex ideas, concepts, and information so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that each new element builds on that which precedes it to create a unified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whole; include formatting (e.g., headings), graphics (e.g., figures, tables), and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multimedia when useful to aiding comprehension.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b. Develop the topic thoroughly by selecting the most significant and relevant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facts, extended definitions, concrete details, quotations, or other information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and examples appropriate to the audience’s knowledge of the topic.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c. Use appropriate and varied transitions and syntax to link the major sections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of the text, create cohesion, and clarify the relationships among complex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ideas and concepts.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d. Use precise language, domain-specific vocabulary, and techniques such as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metaphor, simile, and analogy to manage the complexity of the topic.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e. Establish and maintain a formal style and objective tone while attending to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the norms and conventions of the discipline in which they are writing.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f. Provide a concluding statement or section that follows from and supports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the information or explanation presented (e.g., articulating implications or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the significance of the topic).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W.11-12</w:t>
            </w:r>
            <w:r w:rsidRPr="004547F4">
              <w:rPr>
                <w:b/>
              </w:rPr>
              <w:t>.3</w:t>
            </w:r>
            <w:r>
              <w:t xml:space="preserve">   </w:t>
            </w:r>
            <w:r w:rsidRPr="0043266C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5590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5590">
              <w:t>Write narratives to develop real or imagined experiences or events using</w:t>
            </w:r>
            <w:r>
              <w:t xml:space="preserve"> </w:t>
            </w:r>
            <w:r w:rsidRPr="00C15590">
              <w:t>effective technique, well-chosen details, and well-structured event sequences.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a. Engage and orient the reader by setting out a problem, situation, or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observation and its significance, establishing one or multiple point(s)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of view, and introducing a narrator and/or characters; create a smooth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progression of experiences or events</w:t>
            </w:r>
            <w:proofErr w:type="gramStart"/>
            <w:r w:rsidRPr="00C15590">
              <w:rPr>
                <w:i/>
              </w:rPr>
              <w:t>.</w:t>
            </w:r>
            <w:r w:rsidRPr="0043266C">
              <w:rPr>
                <w:i/>
              </w:rPr>
              <w:t>.</w:t>
            </w:r>
            <w:proofErr w:type="gramEnd"/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43266C">
              <w:rPr>
                <w:i/>
              </w:rPr>
              <w:t>b. Use narrative techniques, such as dialogue, pacing, description, reflection,</w:t>
            </w:r>
            <w:r>
              <w:rPr>
                <w:i/>
              </w:rPr>
              <w:t xml:space="preserve"> </w:t>
            </w:r>
            <w:r w:rsidRPr="0043266C">
              <w:rPr>
                <w:i/>
              </w:rPr>
              <w:t>and multiple plot lines, to develop experiences, events, and/or characters.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c. Use a variety of techniques to sequence events so that they build on one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another to create a coherent whole and build toward a particular tone and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outcome (e.g., a sense of mystery, suspense, growth, or resolution).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d. Use precise words and phrases, telling details, and sensory language to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convey a vivid picture of the experiences, events, setting, and/or characters.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43266C" w:rsidRDefault="00C76E2D" w:rsidP="00C76E2D">
            <w:pPr>
              <w:ind w:left="288"/>
              <w:rPr>
                <w:i/>
              </w:rPr>
            </w:pPr>
            <w:r w:rsidRPr="00C15590">
              <w:rPr>
                <w:i/>
              </w:rPr>
              <w:t>e. Provide a conclusion that follows from and reflects on what is experienced,</w:t>
            </w:r>
            <w:r>
              <w:rPr>
                <w:i/>
              </w:rPr>
              <w:t xml:space="preserve"> </w:t>
            </w:r>
            <w:r w:rsidRPr="00C15590">
              <w:rPr>
                <w:i/>
              </w:rPr>
              <w:t>observed, or resolved over the course of the narrative.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W.11-12</w:t>
            </w:r>
            <w:r w:rsidRPr="004547F4">
              <w:rPr>
                <w:b/>
              </w:rPr>
              <w:t>.4</w:t>
            </w:r>
            <w:r>
              <w:t xml:space="preserve">   </w:t>
            </w:r>
            <w:r w:rsidRPr="0043266C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43266C">
              <w:t>Produce clear and coherent writing in which the development, organization,</w:t>
            </w:r>
            <w:r>
              <w:t xml:space="preserve"> </w:t>
            </w:r>
            <w:r w:rsidRPr="0043266C">
              <w:t>and style are appropriate to task, purpose, and audience. (Grade-specific</w:t>
            </w:r>
            <w:r>
              <w:t xml:space="preserve"> </w:t>
            </w:r>
            <w:r w:rsidRPr="0043266C">
              <w:t>expectations for writing types are defined in standards 1–3 above.)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r>
              <w:rPr>
                <w:b/>
              </w:rPr>
              <w:t>W.11-12</w:t>
            </w:r>
            <w:r w:rsidRPr="004547F4">
              <w:rPr>
                <w:b/>
              </w:rPr>
              <w:t>.5</w:t>
            </w:r>
            <w:r>
              <w:t xml:space="preserve">   </w:t>
            </w:r>
            <w:r w:rsidRPr="0043266C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43266C">
              <w:t>Develop and strengthen writing as needed by planning, revising, editing,</w:t>
            </w:r>
            <w:r>
              <w:t xml:space="preserve"> </w:t>
            </w:r>
            <w:r w:rsidRPr="0043266C">
              <w:t>rewriting, or trying a new approach, focusing on addressing what is most</w:t>
            </w:r>
            <w:r>
              <w:t xml:space="preserve"> </w:t>
            </w:r>
            <w:r w:rsidRPr="0043266C">
              <w:t>significant for a specific purpose and audience. (Editing for conventions should</w:t>
            </w:r>
            <w:r>
              <w:t xml:space="preserve"> </w:t>
            </w:r>
            <w:r w:rsidRPr="0043266C">
              <w:t>demonstrate command of Language standards 1–3 up to and including grades</w:t>
            </w:r>
            <w:r>
              <w:t xml:space="preserve"> </w:t>
            </w:r>
            <w:r w:rsidRPr="0043266C">
              <w:t>9–10 on page 54.)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Default="00C76E2D" w:rsidP="00C76E2D">
            <w:pPr>
              <w:rPr>
                <w:b/>
              </w:rPr>
            </w:pPr>
            <w:r>
              <w:rPr>
                <w:b/>
              </w:rPr>
              <w:t>W.11-12</w:t>
            </w:r>
            <w:r w:rsidRPr="004547F4">
              <w:rPr>
                <w:b/>
              </w:rPr>
              <w:t>.6</w:t>
            </w:r>
            <w:r>
              <w:t xml:space="preserve">   </w:t>
            </w:r>
            <w:r w:rsidRPr="0043266C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t>Use technology, including the Internet, to produce, publish, and update</w:t>
            </w:r>
            <w:r>
              <w:t xml:space="preserve"> </w:t>
            </w:r>
            <w:r w:rsidRPr="00C123AD">
              <w:t>individual or shared writing products in response to ongoing feedback,</w:t>
            </w:r>
            <w:r>
              <w:t xml:space="preserve"> </w:t>
            </w:r>
            <w:r w:rsidRPr="00C123AD">
              <w:t>including new arguments or information.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  <w:tr w:rsidR="00C76E2D" w:rsidTr="00DE5A60">
        <w:tc>
          <w:tcPr>
            <w:tcW w:w="0" w:type="auto"/>
          </w:tcPr>
          <w:p w:rsidR="00C76E2D" w:rsidRPr="00C123AD" w:rsidRDefault="00C76E2D" w:rsidP="00C76E2D">
            <w:r>
              <w:rPr>
                <w:b/>
              </w:rPr>
              <w:t>W.11-12</w:t>
            </w:r>
            <w:r w:rsidRPr="004547F4">
              <w:rPr>
                <w:b/>
              </w:rPr>
              <w:t>.7</w:t>
            </w:r>
            <w:r>
              <w:t xml:space="preserve">   </w:t>
            </w:r>
            <w:r w:rsidRPr="0043266C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t>Conduct short as well as more sustained research projects to answer a question</w:t>
            </w:r>
            <w:r>
              <w:t xml:space="preserve"> </w:t>
            </w:r>
            <w:r w:rsidRPr="00C123AD">
              <w:t>(including a self-generated question) or solve a problem; narrow or broaden</w:t>
            </w:r>
            <w:r>
              <w:t xml:space="preserve"> </w:t>
            </w:r>
            <w:r w:rsidRPr="00C123AD">
              <w:t>the inquiry when appropriate; synthesize multiple sources on the subject,</w:t>
            </w:r>
          </w:p>
          <w:p w:rsidR="00C76E2D" w:rsidRDefault="00C76E2D" w:rsidP="00C76E2D">
            <w:pPr>
              <w:rPr>
                <w:b/>
              </w:rPr>
            </w:pPr>
            <w:proofErr w:type="gramStart"/>
            <w:r w:rsidRPr="00C123AD">
              <w:t>demonstrating</w:t>
            </w:r>
            <w:proofErr w:type="gramEnd"/>
            <w:r w:rsidRPr="00C123AD">
              <w:t xml:space="preserve"> understanding of the subject under investigation.</w:t>
            </w:r>
          </w:p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  <w:tc>
          <w:tcPr>
            <w:tcW w:w="0" w:type="auto"/>
          </w:tcPr>
          <w:p w:rsidR="00C76E2D" w:rsidRDefault="00C76E2D" w:rsidP="00C76E2D"/>
        </w:tc>
      </w:tr>
    </w:tbl>
    <w:p w:rsidR="00C76E2D" w:rsidRDefault="00C76E2D"/>
    <w:tbl>
      <w:tblPr>
        <w:tblStyle w:val="TableGrid"/>
        <w:tblpPr w:leftFromText="180" w:rightFromText="180" w:vertAnchor="text" w:horzAnchor="margin" w:tblpY="-59"/>
        <w:tblW w:w="0" w:type="auto"/>
        <w:tblLook w:val="04A0"/>
      </w:tblPr>
      <w:tblGrid>
        <w:gridCol w:w="11864"/>
        <w:gridCol w:w="328"/>
        <w:gridCol w:w="328"/>
        <w:gridCol w:w="328"/>
        <w:gridCol w:w="328"/>
      </w:tblGrid>
      <w:tr w:rsidR="00C76E2D" w:rsidTr="00C76E2D">
        <w:tc>
          <w:tcPr>
            <w:tcW w:w="0" w:type="auto"/>
            <w:shd w:val="clear" w:color="auto" w:fill="D9D9D9" w:themeFill="background1" w:themeFillShade="D9"/>
          </w:tcPr>
          <w:p w:rsidR="00C76E2D" w:rsidRPr="00305B21" w:rsidRDefault="00C76E2D" w:rsidP="00C76E2D">
            <w:pPr>
              <w:rPr>
                <w:b/>
              </w:rPr>
            </w:pPr>
            <w:r w:rsidRPr="00305B21">
              <w:rPr>
                <w:b/>
              </w:rPr>
              <w:lastRenderedPageBreak/>
              <w:t>Writing Standards</w:t>
            </w:r>
            <w:r>
              <w:rPr>
                <w:b/>
              </w:rPr>
              <w:t xml:space="preserve"> (W)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76E2D" w:rsidRPr="00305B21" w:rsidRDefault="00C76E2D" w:rsidP="00C76E2D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43266C" w:rsidTr="00DE5A60">
        <w:tc>
          <w:tcPr>
            <w:tcW w:w="0" w:type="auto"/>
          </w:tcPr>
          <w:p w:rsidR="0043266C" w:rsidRDefault="004B46A6" w:rsidP="00DE5A60">
            <w:r>
              <w:rPr>
                <w:b/>
              </w:rPr>
              <w:t>W.11-12</w:t>
            </w:r>
            <w:r w:rsidR="0043266C" w:rsidRPr="00E3211C">
              <w:rPr>
                <w:b/>
              </w:rPr>
              <w:t>.8</w:t>
            </w:r>
            <w:r w:rsidR="0043266C">
              <w:t xml:space="preserve">   </w:t>
            </w:r>
            <w:r w:rsidR="0043266C" w:rsidRPr="0043266C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t>Gather relevant information from multiple authoritative print and digital sources,</w:t>
            </w:r>
            <w:r w:rsidR="00C123AD">
              <w:t xml:space="preserve"> </w:t>
            </w:r>
            <w:r w:rsidR="00C123AD" w:rsidRPr="00C123AD">
              <w:t>using advanced searches effectively; assess the strengths and limitations of</w:t>
            </w:r>
            <w:r w:rsidR="00C123AD">
              <w:t xml:space="preserve"> </w:t>
            </w:r>
            <w:r w:rsidR="00C123AD" w:rsidRPr="00C123AD">
              <w:t>each source in terms of the task, purpose, and audience; integrate information</w:t>
            </w:r>
            <w:r w:rsidR="00C123AD">
              <w:t xml:space="preserve"> </w:t>
            </w:r>
            <w:r w:rsidR="00C123AD" w:rsidRPr="00C123AD">
              <w:t>into the text selectively to maintain the flow of ideas, avoiding plagiarism and</w:t>
            </w:r>
            <w:r w:rsidR="00C123AD">
              <w:t xml:space="preserve"> </w:t>
            </w:r>
            <w:r w:rsidR="00C123AD" w:rsidRPr="00C123AD">
              <w:t>overreliance on any one source and following a standard format for citation.</w:t>
            </w:r>
          </w:p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</w:tr>
      <w:tr w:rsidR="0043266C" w:rsidTr="00DE5A60">
        <w:tc>
          <w:tcPr>
            <w:tcW w:w="0" w:type="auto"/>
          </w:tcPr>
          <w:p w:rsidR="0043266C" w:rsidRDefault="004B46A6" w:rsidP="00DE5A60">
            <w:r>
              <w:rPr>
                <w:b/>
              </w:rPr>
              <w:t>W.11-12</w:t>
            </w:r>
            <w:r w:rsidR="0043266C" w:rsidRPr="00E3211C">
              <w:rPr>
                <w:b/>
              </w:rPr>
              <w:t>.9</w:t>
            </w:r>
            <w:r w:rsidR="00744F8B">
              <w:t xml:space="preserve">   </w:t>
            </w:r>
            <w:r w:rsidR="00744F8B" w:rsidRPr="00744F8B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t>Draw evidence from literary or informational texts to support analysis,</w:t>
            </w:r>
            <w:r w:rsidR="00C123AD">
              <w:t xml:space="preserve"> </w:t>
            </w:r>
            <w:r w:rsidR="00C123AD" w:rsidRPr="00C123AD">
              <w:t>reflection, and research.</w:t>
            </w:r>
          </w:p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</w:tr>
      <w:tr w:rsidR="0043266C" w:rsidTr="00DE5A60">
        <w:tc>
          <w:tcPr>
            <w:tcW w:w="0" w:type="auto"/>
          </w:tcPr>
          <w:p w:rsidR="0043266C" w:rsidRPr="00744F8B" w:rsidRDefault="00C123AD" w:rsidP="00DE5A60">
            <w:pPr>
              <w:ind w:left="288"/>
              <w:rPr>
                <w:i/>
              </w:rPr>
            </w:pPr>
            <w:r w:rsidRPr="00C123AD">
              <w:rPr>
                <w:i/>
              </w:rPr>
              <w:t xml:space="preserve">a. Apply </w:t>
            </w:r>
            <w:r w:rsidRPr="00C123AD">
              <w:rPr>
                <w:i/>
                <w:iCs/>
              </w:rPr>
              <w:t xml:space="preserve">grades 11–12 Reading standards </w:t>
            </w:r>
            <w:r w:rsidRPr="00C123AD">
              <w:rPr>
                <w:i/>
              </w:rPr>
              <w:t>to literature (e.g., “Demonstrate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knowledge of eighteenth-, nineteenth- and early-twentieth-century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foundational works of American literature, including how two or more texts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from the same period treat similar themes or topics”).</w:t>
            </w:r>
          </w:p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</w:tr>
      <w:tr w:rsidR="0043266C" w:rsidTr="00DE5A60">
        <w:tc>
          <w:tcPr>
            <w:tcW w:w="0" w:type="auto"/>
          </w:tcPr>
          <w:p w:rsidR="0043266C" w:rsidRPr="00744F8B" w:rsidRDefault="00C123AD" w:rsidP="00DE5A60">
            <w:pPr>
              <w:ind w:left="288"/>
              <w:rPr>
                <w:i/>
              </w:rPr>
            </w:pPr>
            <w:r w:rsidRPr="00C123AD">
              <w:rPr>
                <w:i/>
              </w:rPr>
              <w:t xml:space="preserve">b. Apply </w:t>
            </w:r>
            <w:r w:rsidRPr="00C123AD">
              <w:rPr>
                <w:i/>
                <w:iCs/>
              </w:rPr>
              <w:t xml:space="preserve">grades 11–12 Reading standards </w:t>
            </w:r>
            <w:r w:rsidRPr="00C123AD">
              <w:rPr>
                <w:i/>
              </w:rPr>
              <w:t>to literary nonfiction (e.g., “Delineate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and evaluate the reasoning in seminal U.S. texts, including the application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of constitutional principles and use of legal reasoning [e.g., in U.S. Supreme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Court Case majority opinions and dissents] and the premises, purposes, and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 xml:space="preserve">arguments in works of public advocacy [e.g., </w:t>
            </w:r>
            <w:r w:rsidRPr="00C123AD">
              <w:rPr>
                <w:i/>
                <w:iCs/>
              </w:rPr>
              <w:t>The Federalist</w:t>
            </w:r>
            <w:r w:rsidRPr="00C123AD">
              <w:rPr>
                <w:i/>
              </w:rPr>
              <w:t>, presidential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addresses]”).</w:t>
            </w:r>
          </w:p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  <w:tc>
          <w:tcPr>
            <w:tcW w:w="0" w:type="auto"/>
          </w:tcPr>
          <w:p w:rsidR="0043266C" w:rsidRDefault="0043266C" w:rsidP="00DE5A60"/>
        </w:tc>
      </w:tr>
      <w:tr w:rsidR="00744F8B" w:rsidTr="00DE5A60">
        <w:tc>
          <w:tcPr>
            <w:tcW w:w="0" w:type="auto"/>
            <w:tcBorders>
              <w:bottom w:val="single" w:sz="4" w:space="0" w:color="auto"/>
            </w:tcBorders>
          </w:tcPr>
          <w:p w:rsidR="00744F8B" w:rsidRDefault="004B46A6" w:rsidP="00DE5A60">
            <w:r>
              <w:rPr>
                <w:b/>
              </w:rPr>
              <w:t>W.11-12</w:t>
            </w:r>
            <w:r w:rsidR="00744F8B" w:rsidRPr="00E3211C">
              <w:rPr>
                <w:b/>
              </w:rPr>
              <w:t>.10</w:t>
            </w:r>
            <w:r w:rsidR="00744F8B">
              <w:t xml:space="preserve">   </w:t>
            </w:r>
            <w:r w:rsidR="00744F8B" w:rsidRPr="00744F8B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t>Write routinely over extended time frames (time for research, reflection, and</w:t>
            </w:r>
            <w:r w:rsidR="00C123AD">
              <w:t xml:space="preserve"> </w:t>
            </w:r>
            <w:r w:rsidR="00C123AD" w:rsidRPr="00C123AD">
              <w:t>revision) and shorter time frames (a single sitting or a day or two) for a range of</w:t>
            </w:r>
            <w:r w:rsidR="00C123AD">
              <w:t xml:space="preserve"> </w:t>
            </w:r>
            <w:r w:rsidR="00C123AD" w:rsidRPr="00C123AD">
              <w:t>tasks, purposes, and audiences.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4F8B" w:rsidRDefault="00744F8B" w:rsidP="00DE5A60"/>
        </w:tc>
        <w:tc>
          <w:tcPr>
            <w:tcW w:w="0" w:type="auto"/>
            <w:tcBorders>
              <w:bottom w:val="single" w:sz="4" w:space="0" w:color="auto"/>
            </w:tcBorders>
          </w:tcPr>
          <w:p w:rsidR="00744F8B" w:rsidRDefault="00744F8B" w:rsidP="00DE5A60"/>
        </w:tc>
        <w:tc>
          <w:tcPr>
            <w:tcW w:w="0" w:type="auto"/>
            <w:tcBorders>
              <w:bottom w:val="single" w:sz="4" w:space="0" w:color="auto"/>
            </w:tcBorders>
          </w:tcPr>
          <w:p w:rsidR="00744F8B" w:rsidRDefault="00744F8B" w:rsidP="00DE5A60"/>
        </w:tc>
        <w:tc>
          <w:tcPr>
            <w:tcW w:w="0" w:type="auto"/>
            <w:tcBorders>
              <w:bottom w:val="single" w:sz="4" w:space="0" w:color="auto"/>
            </w:tcBorders>
          </w:tcPr>
          <w:p w:rsidR="00744F8B" w:rsidRDefault="00744F8B" w:rsidP="00DE5A60"/>
        </w:tc>
      </w:tr>
      <w:tr w:rsidR="00675CF6" w:rsidTr="00DE5A60">
        <w:tc>
          <w:tcPr>
            <w:tcW w:w="0" w:type="auto"/>
            <w:shd w:val="pct12" w:color="auto" w:fill="auto"/>
          </w:tcPr>
          <w:p w:rsidR="00675CF6" w:rsidRPr="00305B21" w:rsidRDefault="00675CF6" w:rsidP="00DE5A60">
            <w:pPr>
              <w:rPr>
                <w:b/>
              </w:rPr>
            </w:pPr>
            <w:r w:rsidRPr="00305B21">
              <w:rPr>
                <w:b/>
              </w:rPr>
              <w:t>Speaking and Listening Standard</w:t>
            </w:r>
            <w:r w:rsidR="00305B21">
              <w:rPr>
                <w:b/>
              </w:rPr>
              <w:t>s (SL)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75CF6" w:rsidRPr="00305B21" w:rsidRDefault="00305B21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75CF6" w:rsidRPr="00305B21" w:rsidRDefault="00305B21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75CF6" w:rsidRPr="00305B21" w:rsidRDefault="00305B21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75CF6" w:rsidRPr="00305B21" w:rsidRDefault="00305B21" w:rsidP="00DE5A60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675CF6" w:rsidTr="00DE5A60">
        <w:tc>
          <w:tcPr>
            <w:tcW w:w="0" w:type="auto"/>
          </w:tcPr>
          <w:p w:rsidR="00C123AD" w:rsidRPr="00C123AD" w:rsidRDefault="004B46A6" w:rsidP="00DE5A60">
            <w:r>
              <w:rPr>
                <w:b/>
              </w:rPr>
              <w:t>SL.11-12</w:t>
            </w:r>
            <w:r w:rsidR="00675CF6" w:rsidRPr="00E3211C">
              <w:rPr>
                <w:b/>
              </w:rPr>
              <w:t>.1</w:t>
            </w:r>
            <w:r w:rsidR="00675CF6">
              <w:t xml:space="preserve">   </w:t>
            </w:r>
            <w:r w:rsidR="00675CF6" w:rsidRPr="00675CF6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="00C123AD" w:rsidRPr="00C123AD">
              <w:t>Initiate and participate effectively in a range of collaborative discussions (one</w:t>
            </w:r>
            <w:r w:rsidR="00C123AD">
              <w:t>-</w:t>
            </w:r>
            <w:r w:rsidR="00C123AD" w:rsidRPr="00C123AD">
              <w:t>on-</w:t>
            </w:r>
            <w:r w:rsidR="00C123AD">
              <w:t xml:space="preserve"> </w:t>
            </w:r>
            <w:r w:rsidR="00C123AD" w:rsidRPr="00C123AD">
              <w:t xml:space="preserve">one, in groups, and teacher-led) with diverse partners on </w:t>
            </w:r>
            <w:r w:rsidR="00C123AD" w:rsidRPr="00C123AD">
              <w:rPr>
                <w:i/>
                <w:iCs/>
              </w:rPr>
              <w:t>grades 11–12 topics,</w:t>
            </w:r>
            <w:r w:rsidR="00C123AD">
              <w:t xml:space="preserve"> </w:t>
            </w:r>
            <w:r w:rsidR="00C123AD" w:rsidRPr="00C123AD">
              <w:rPr>
                <w:i/>
                <w:iCs/>
              </w:rPr>
              <w:t xml:space="preserve">texts, and issues, </w:t>
            </w:r>
            <w:r w:rsidR="00C123AD" w:rsidRPr="00C123AD">
              <w:t>building on others’ ideas and expressing their own clearly and</w:t>
            </w:r>
          </w:p>
          <w:p w:rsidR="00675CF6" w:rsidRDefault="00C123AD" w:rsidP="00DE5A60">
            <w:proofErr w:type="gramStart"/>
            <w:r w:rsidRPr="00C123AD">
              <w:t>persuasively</w:t>
            </w:r>
            <w:proofErr w:type="gramEnd"/>
            <w:r w:rsidRPr="00C123AD">
              <w:t>.</w:t>
            </w:r>
          </w:p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</w:tr>
      <w:tr w:rsidR="00675CF6" w:rsidTr="00DE5A60">
        <w:tc>
          <w:tcPr>
            <w:tcW w:w="0" w:type="auto"/>
          </w:tcPr>
          <w:p w:rsidR="00C123AD" w:rsidRPr="00C123AD" w:rsidRDefault="00C123AD" w:rsidP="00DE5A60">
            <w:pPr>
              <w:ind w:left="288"/>
              <w:rPr>
                <w:i/>
              </w:rPr>
            </w:pPr>
            <w:r w:rsidRPr="00C123AD">
              <w:rPr>
                <w:i/>
              </w:rPr>
              <w:t>a. Come to discussions prepared, having read and researched material under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study; explicitly draw on that preparation by referring to evidence from texts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 xml:space="preserve">and other research on the topic or issue to stimulate a thoughtful, </w:t>
            </w:r>
            <w:proofErr w:type="spellStart"/>
            <w:r w:rsidRPr="00C123AD">
              <w:rPr>
                <w:i/>
              </w:rPr>
              <w:t>wellreasoned</w:t>
            </w:r>
            <w:proofErr w:type="spellEnd"/>
          </w:p>
          <w:p w:rsidR="00675CF6" w:rsidRPr="00675CF6" w:rsidRDefault="00C123AD" w:rsidP="00DE5A60">
            <w:pPr>
              <w:ind w:left="288"/>
              <w:rPr>
                <w:i/>
              </w:rPr>
            </w:pPr>
            <w:proofErr w:type="gramStart"/>
            <w:r w:rsidRPr="00C123AD">
              <w:rPr>
                <w:i/>
              </w:rPr>
              <w:t>exchange</w:t>
            </w:r>
            <w:proofErr w:type="gramEnd"/>
            <w:r w:rsidRPr="00C123AD">
              <w:rPr>
                <w:i/>
              </w:rPr>
              <w:t xml:space="preserve"> of ideas.</w:t>
            </w:r>
          </w:p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</w:tr>
      <w:tr w:rsidR="00675CF6" w:rsidTr="00DE5A60">
        <w:tc>
          <w:tcPr>
            <w:tcW w:w="0" w:type="auto"/>
          </w:tcPr>
          <w:p w:rsidR="00675CF6" w:rsidRPr="00675CF6" w:rsidRDefault="00C123AD" w:rsidP="00DE5A60">
            <w:pPr>
              <w:ind w:left="288"/>
              <w:rPr>
                <w:i/>
              </w:rPr>
            </w:pPr>
            <w:r w:rsidRPr="00C123AD">
              <w:rPr>
                <w:i/>
              </w:rPr>
              <w:t xml:space="preserve">b. Work with peers to promote civil, democratic discussions and </w:t>
            </w:r>
            <w:proofErr w:type="spellStart"/>
            <w:r w:rsidRPr="00C123AD">
              <w:rPr>
                <w:i/>
              </w:rPr>
              <w:t>decisionmaking</w:t>
            </w:r>
            <w:proofErr w:type="spellEnd"/>
            <w:r w:rsidRPr="00C123AD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set clear goals and deadlines, and establish individual roles as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needed.</w:t>
            </w:r>
          </w:p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</w:tr>
      <w:tr w:rsidR="00675CF6" w:rsidTr="00DE5A60">
        <w:tc>
          <w:tcPr>
            <w:tcW w:w="0" w:type="auto"/>
          </w:tcPr>
          <w:p w:rsidR="00675CF6" w:rsidRPr="00675CF6" w:rsidRDefault="00C123AD" w:rsidP="00DE5A60">
            <w:pPr>
              <w:ind w:left="288"/>
              <w:rPr>
                <w:i/>
              </w:rPr>
            </w:pPr>
            <w:r w:rsidRPr="00C123AD">
              <w:rPr>
                <w:i/>
              </w:rPr>
              <w:t>c. Propel conversations by posing and re</w:t>
            </w:r>
            <w:r>
              <w:rPr>
                <w:i/>
              </w:rPr>
              <w:t xml:space="preserve">sponding to questions that probe </w:t>
            </w:r>
            <w:r w:rsidRPr="00C123AD">
              <w:rPr>
                <w:i/>
              </w:rPr>
              <w:t>reasoning and evidence; ensure a hearing for a full range of positions on a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topic or issue; clarify, verify, or challenge ideas and conclusions; and promote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divergent and creative perspectives.</w:t>
            </w:r>
          </w:p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</w:tr>
      <w:tr w:rsidR="00675CF6" w:rsidTr="00DE5A60">
        <w:tc>
          <w:tcPr>
            <w:tcW w:w="0" w:type="auto"/>
          </w:tcPr>
          <w:p w:rsidR="00675CF6" w:rsidRPr="00675CF6" w:rsidRDefault="00C123AD" w:rsidP="00DE5A60">
            <w:pPr>
              <w:ind w:left="288"/>
              <w:rPr>
                <w:i/>
              </w:rPr>
            </w:pPr>
            <w:r w:rsidRPr="00C123AD">
              <w:rPr>
                <w:i/>
              </w:rPr>
              <w:t>d. Respond thoughtfully to diverse perspectives; synthesize comments, claims,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and evidence made on all sides of an issue; resolve contradictions when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possible; and determine what additional information or research is required</w:t>
            </w:r>
            <w:r>
              <w:rPr>
                <w:i/>
              </w:rPr>
              <w:t xml:space="preserve"> </w:t>
            </w:r>
            <w:r w:rsidRPr="00C123AD">
              <w:rPr>
                <w:i/>
              </w:rPr>
              <w:t>to deepen the investigation or complete the task.</w:t>
            </w:r>
          </w:p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  <w:tc>
          <w:tcPr>
            <w:tcW w:w="0" w:type="auto"/>
          </w:tcPr>
          <w:p w:rsidR="00675CF6" w:rsidRDefault="00675CF6" w:rsidP="00DE5A60"/>
        </w:tc>
      </w:tr>
      <w:tr w:rsidR="00C76E2D" w:rsidTr="00DE5A60">
        <w:tc>
          <w:tcPr>
            <w:tcW w:w="0" w:type="auto"/>
          </w:tcPr>
          <w:p w:rsidR="00C76E2D" w:rsidRPr="00C123AD" w:rsidRDefault="00C76E2D" w:rsidP="00C76E2D">
            <w:r>
              <w:rPr>
                <w:b/>
              </w:rPr>
              <w:t>SL.11-12</w:t>
            </w:r>
            <w:r w:rsidRPr="00E3211C">
              <w:rPr>
                <w:b/>
              </w:rPr>
              <w:t>.2</w:t>
            </w:r>
            <w:r>
              <w:t xml:space="preserve">   </w:t>
            </w:r>
            <w:r w:rsidRPr="00675CF6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t>Integrate multiple sources of information presented in diverse formats and</w:t>
            </w:r>
            <w:r>
              <w:t xml:space="preserve"> </w:t>
            </w:r>
            <w:r w:rsidRPr="00C123AD">
              <w:t>media (e.g., visually, quantitatively, orally) in order to make informed decisions</w:t>
            </w:r>
            <w:r>
              <w:t xml:space="preserve"> </w:t>
            </w:r>
            <w:r w:rsidRPr="00C123AD">
              <w:t>and solve problems, evaluating the credibility and accuracy of each source and</w:t>
            </w:r>
          </w:p>
          <w:p w:rsidR="00C76E2D" w:rsidRPr="00C123AD" w:rsidRDefault="00C76E2D" w:rsidP="00C76E2D">
            <w:pPr>
              <w:ind w:left="288"/>
              <w:rPr>
                <w:i/>
              </w:rPr>
            </w:pPr>
            <w:proofErr w:type="gramStart"/>
            <w:r w:rsidRPr="00C123AD">
              <w:t>noting</w:t>
            </w:r>
            <w:proofErr w:type="gramEnd"/>
            <w:r w:rsidRPr="00C123AD">
              <w:t xml:space="preserve"> any discrepancies among the data.</w:t>
            </w:r>
          </w:p>
        </w:tc>
        <w:tc>
          <w:tcPr>
            <w:tcW w:w="0" w:type="auto"/>
          </w:tcPr>
          <w:p w:rsidR="00C76E2D" w:rsidRDefault="00C76E2D" w:rsidP="00DE5A60"/>
        </w:tc>
        <w:tc>
          <w:tcPr>
            <w:tcW w:w="0" w:type="auto"/>
          </w:tcPr>
          <w:p w:rsidR="00C76E2D" w:rsidRDefault="00C76E2D" w:rsidP="00DE5A60"/>
        </w:tc>
        <w:tc>
          <w:tcPr>
            <w:tcW w:w="0" w:type="auto"/>
          </w:tcPr>
          <w:p w:rsidR="00C76E2D" w:rsidRDefault="00C76E2D" w:rsidP="00DE5A60"/>
        </w:tc>
        <w:tc>
          <w:tcPr>
            <w:tcW w:w="0" w:type="auto"/>
          </w:tcPr>
          <w:p w:rsidR="00C76E2D" w:rsidRDefault="00C76E2D" w:rsidP="00DE5A60"/>
        </w:tc>
      </w:tr>
      <w:tr w:rsidR="00C76E2D" w:rsidTr="00DE5A60">
        <w:tc>
          <w:tcPr>
            <w:tcW w:w="0" w:type="auto"/>
          </w:tcPr>
          <w:p w:rsidR="00C76E2D" w:rsidRDefault="00C76E2D" w:rsidP="00C76E2D">
            <w:pPr>
              <w:rPr>
                <w:b/>
              </w:rPr>
            </w:pPr>
            <w:r>
              <w:rPr>
                <w:b/>
              </w:rPr>
              <w:t>SL.11-12</w:t>
            </w:r>
            <w:r w:rsidRPr="00E3211C">
              <w:rPr>
                <w:b/>
              </w:rPr>
              <w:t>.3</w:t>
            </w:r>
            <w:r>
              <w:t xml:space="preserve">   </w:t>
            </w:r>
            <w:r w:rsidRPr="00675CF6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t>Evaluate a speaker’s point of view, reasoning, and use of evidence and rhetoric,</w:t>
            </w:r>
            <w:r>
              <w:t xml:space="preserve"> </w:t>
            </w:r>
            <w:r w:rsidRPr="00C123AD">
              <w:t>assessing the stance, premises, links among ideas, word choice, points of</w:t>
            </w:r>
            <w:r>
              <w:t xml:space="preserve"> </w:t>
            </w:r>
            <w:r w:rsidRPr="00C123AD">
              <w:t>emphasis, and tone used.</w:t>
            </w:r>
          </w:p>
        </w:tc>
        <w:tc>
          <w:tcPr>
            <w:tcW w:w="0" w:type="auto"/>
          </w:tcPr>
          <w:p w:rsidR="00C76E2D" w:rsidRDefault="00C76E2D" w:rsidP="00DE5A60"/>
        </w:tc>
        <w:tc>
          <w:tcPr>
            <w:tcW w:w="0" w:type="auto"/>
          </w:tcPr>
          <w:p w:rsidR="00C76E2D" w:rsidRDefault="00C76E2D" w:rsidP="00DE5A60"/>
        </w:tc>
        <w:tc>
          <w:tcPr>
            <w:tcW w:w="0" w:type="auto"/>
          </w:tcPr>
          <w:p w:rsidR="00C76E2D" w:rsidRDefault="00C76E2D" w:rsidP="00DE5A60"/>
        </w:tc>
        <w:tc>
          <w:tcPr>
            <w:tcW w:w="0" w:type="auto"/>
          </w:tcPr>
          <w:p w:rsidR="00C76E2D" w:rsidRDefault="00C76E2D" w:rsidP="00DE5A60"/>
        </w:tc>
      </w:tr>
    </w:tbl>
    <w:p w:rsidR="00C76E2D" w:rsidRDefault="00C76E2D"/>
    <w:tbl>
      <w:tblPr>
        <w:tblStyle w:val="TableGrid"/>
        <w:tblpPr w:leftFromText="180" w:rightFromText="180" w:vertAnchor="text" w:horzAnchor="margin" w:tblpY="-59"/>
        <w:tblW w:w="13068" w:type="dxa"/>
        <w:tblLayout w:type="fixed"/>
        <w:tblLook w:val="04A0"/>
      </w:tblPr>
      <w:tblGrid>
        <w:gridCol w:w="11808"/>
        <w:gridCol w:w="360"/>
        <w:gridCol w:w="270"/>
        <w:gridCol w:w="270"/>
        <w:gridCol w:w="360"/>
      </w:tblGrid>
      <w:tr w:rsidR="00CF4616" w:rsidTr="00CF4616">
        <w:tc>
          <w:tcPr>
            <w:tcW w:w="11808" w:type="dxa"/>
            <w:shd w:val="clear" w:color="auto" w:fill="D9D9D9" w:themeFill="background1" w:themeFillShade="D9"/>
          </w:tcPr>
          <w:p w:rsidR="001521A7" w:rsidRDefault="001521A7" w:rsidP="001521A7">
            <w:pPr>
              <w:rPr>
                <w:b/>
              </w:rPr>
            </w:pPr>
            <w:r w:rsidRPr="00305B21">
              <w:rPr>
                <w:b/>
              </w:rPr>
              <w:lastRenderedPageBreak/>
              <w:t>Speaking and Listening Standard</w:t>
            </w:r>
            <w:r>
              <w:rPr>
                <w:b/>
              </w:rPr>
              <w:t>s (SL) continued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1521A7" w:rsidRPr="00305B21" w:rsidRDefault="001521A7" w:rsidP="00CF4616">
            <w:pPr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1521A7" w:rsidRPr="00305B21" w:rsidRDefault="001521A7" w:rsidP="00CF4616">
            <w:pPr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1521A7" w:rsidRPr="00305B21" w:rsidRDefault="001521A7" w:rsidP="00CF4616">
            <w:pPr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1521A7" w:rsidRPr="00305B21" w:rsidRDefault="001521A7" w:rsidP="00CF4616">
            <w:pPr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CF4616" w:rsidTr="00CF4616">
        <w:tc>
          <w:tcPr>
            <w:tcW w:w="11808" w:type="dxa"/>
          </w:tcPr>
          <w:p w:rsidR="001521A7" w:rsidRPr="00C123AD" w:rsidRDefault="001521A7" w:rsidP="001521A7">
            <w:r>
              <w:rPr>
                <w:b/>
              </w:rPr>
              <w:t>SL.11-12</w:t>
            </w:r>
            <w:r w:rsidRPr="00E3211C">
              <w:rPr>
                <w:b/>
              </w:rPr>
              <w:t>.4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t>4. Present information, findings, and supporting evidence, conveying a clear</w:t>
            </w:r>
            <w:r>
              <w:t xml:space="preserve"> </w:t>
            </w:r>
            <w:r w:rsidRPr="00C123AD">
              <w:t>and distinct perspective, such that listeners can follow the line of reasoning,</w:t>
            </w:r>
            <w:r>
              <w:t xml:space="preserve"> </w:t>
            </w:r>
            <w:r w:rsidRPr="00C123AD">
              <w:t>alternative or opposing perspectives are addressed, and the organization,</w:t>
            </w:r>
          </w:p>
          <w:p w:rsidR="001521A7" w:rsidRDefault="001521A7" w:rsidP="001521A7">
            <w:proofErr w:type="gramStart"/>
            <w:r w:rsidRPr="00C123AD">
              <w:t>development</w:t>
            </w:r>
            <w:proofErr w:type="gramEnd"/>
            <w:r w:rsidRPr="00C123AD">
              <w:t>, substance, and style are appropriate to purpose, audience, and a</w:t>
            </w:r>
            <w:r>
              <w:t xml:space="preserve"> </w:t>
            </w:r>
            <w:r w:rsidRPr="00C123AD">
              <w:t>range of formal and informal tasks.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</w:tcPr>
          <w:p w:rsidR="001521A7" w:rsidRDefault="001521A7" w:rsidP="001521A7">
            <w:r>
              <w:rPr>
                <w:b/>
              </w:rPr>
              <w:t>SL.11-12</w:t>
            </w:r>
            <w:r w:rsidRPr="00E3211C">
              <w:rPr>
                <w:b/>
              </w:rPr>
              <w:t>.5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t>Make strategic use of digital media (e.g., textual, graphical, audio, visual, and</w:t>
            </w:r>
            <w:r>
              <w:t xml:space="preserve"> </w:t>
            </w:r>
            <w:r w:rsidRPr="00C123AD">
              <w:t>interactive elements) in presentations to enhance understanding of findings,</w:t>
            </w:r>
            <w:r>
              <w:t xml:space="preserve"> </w:t>
            </w:r>
            <w:r w:rsidRPr="00C123AD">
              <w:t>reasoning, and evidence and to add interest.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  <w:tcBorders>
              <w:bottom w:val="single" w:sz="4" w:space="0" w:color="auto"/>
            </w:tcBorders>
          </w:tcPr>
          <w:p w:rsidR="001521A7" w:rsidRDefault="001521A7" w:rsidP="001521A7">
            <w:r w:rsidRPr="00E3211C">
              <w:rPr>
                <w:b/>
              </w:rPr>
              <w:t>SL</w:t>
            </w:r>
            <w:r>
              <w:rPr>
                <w:b/>
              </w:rPr>
              <w:t>.11-12</w:t>
            </w:r>
            <w:r w:rsidRPr="00E3211C">
              <w:rPr>
                <w:b/>
              </w:rPr>
              <w:t>.6</w:t>
            </w:r>
            <w:r>
              <w:t xml:space="preserve"> 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C123AD">
              <w:t>Adapt speech to a variety of contexts and tasks, demonstrating a command</w:t>
            </w:r>
            <w:r>
              <w:t xml:space="preserve"> </w:t>
            </w:r>
            <w:r w:rsidRPr="00C123AD">
              <w:t>of formal English when indicated or appropriate. (See grades 11–12 Language</w:t>
            </w:r>
            <w:r>
              <w:t xml:space="preserve"> </w:t>
            </w:r>
            <w:r w:rsidRPr="00C123AD">
              <w:t>standards 1 and 3 on page 54 for specific expectations.)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521A7" w:rsidRDefault="001521A7" w:rsidP="001521A7"/>
        </w:tc>
        <w:tc>
          <w:tcPr>
            <w:tcW w:w="270" w:type="dxa"/>
            <w:tcBorders>
              <w:bottom w:val="single" w:sz="4" w:space="0" w:color="auto"/>
            </w:tcBorders>
          </w:tcPr>
          <w:p w:rsidR="001521A7" w:rsidRDefault="001521A7" w:rsidP="001521A7"/>
        </w:tc>
        <w:tc>
          <w:tcPr>
            <w:tcW w:w="270" w:type="dxa"/>
            <w:tcBorders>
              <w:bottom w:val="single" w:sz="4" w:space="0" w:color="auto"/>
            </w:tcBorders>
          </w:tcPr>
          <w:p w:rsidR="001521A7" w:rsidRDefault="001521A7" w:rsidP="001521A7"/>
        </w:tc>
        <w:tc>
          <w:tcPr>
            <w:tcW w:w="360" w:type="dxa"/>
            <w:tcBorders>
              <w:bottom w:val="single" w:sz="4" w:space="0" w:color="auto"/>
            </w:tcBorders>
          </w:tcPr>
          <w:p w:rsidR="001521A7" w:rsidRDefault="001521A7" w:rsidP="001521A7"/>
        </w:tc>
      </w:tr>
      <w:tr w:rsidR="00CF4616" w:rsidTr="00CF4616">
        <w:tc>
          <w:tcPr>
            <w:tcW w:w="11808" w:type="dxa"/>
            <w:shd w:val="pct12" w:color="auto" w:fill="auto"/>
          </w:tcPr>
          <w:p w:rsidR="001521A7" w:rsidRPr="00305B21" w:rsidRDefault="001521A7" w:rsidP="001521A7">
            <w:pPr>
              <w:rPr>
                <w:b/>
              </w:rPr>
            </w:pPr>
            <w:r w:rsidRPr="00305B21">
              <w:rPr>
                <w:b/>
              </w:rPr>
              <w:t>Language Standards</w:t>
            </w:r>
            <w:r>
              <w:rPr>
                <w:b/>
              </w:rPr>
              <w:t xml:space="preserve"> (L)</w:t>
            </w:r>
          </w:p>
        </w:tc>
        <w:tc>
          <w:tcPr>
            <w:tcW w:w="360" w:type="dxa"/>
            <w:shd w:val="pct12" w:color="auto" w:fill="auto"/>
            <w:vAlign w:val="center"/>
          </w:tcPr>
          <w:p w:rsidR="001521A7" w:rsidRPr="00305B21" w:rsidRDefault="001521A7" w:rsidP="001521A7">
            <w:pPr>
              <w:jc w:val="center"/>
              <w:rPr>
                <w:b/>
              </w:rPr>
            </w:pPr>
            <w:r w:rsidRPr="00305B21">
              <w:rPr>
                <w:b/>
              </w:rPr>
              <w:t>1</w:t>
            </w:r>
          </w:p>
        </w:tc>
        <w:tc>
          <w:tcPr>
            <w:tcW w:w="270" w:type="dxa"/>
            <w:shd w:val="pct12" w:color="auto" w:fill="auto"/>
            <w:vAlign w:val="center"/>
          </w:tcPr>
          <w:p w:rsidR="001521A7" w:rsidRPr="00305B21" w:rsidRDefault="001521A7" w:rsidP="001521A7">
            <w:pPr>
              <w:jc w:val="center"/>
              <w:rPr>
                <w:b/>
              </w:rPr>
            </w:pPr>
            <w:r w:rsidRPr="00305B21">
              <w:rPr>
                <w:b/>
              </w:rPr>
              <w:t>2</w:t>
            </w:r>
          </w:p>
        </w:tc>
        <w:tc>
          <w:tcPr>
            <w:tcW w:w="270" w:type="dxa"/>
            <w:shd w:val="pct12" w:color="auto" w:fill="auto"/>
            <w:vAlign w:val="center"/>
          </w:tcPr>
          <w:p w:rsidR="001521A7" w:rsidRPr="00305B21" w:rsidRDefault="001521A7" w:rsidP="001521A7">
            <w:pPr>
              <w:jc w:val="center"/>
              <w:rPr>
                <w:b/>
              </w:rPr>
            </w:pPr>
            <w:r w:rsidRPr="00305B21">
              <w:rPr>
                <w:b/>
              </w:rPr>
              <w:t>3</w:t>
            </w:r>
          </w:p>
        </w:tc>
        <w:tc>
          <w:tcPr>
            <w:tcW w:w="360" w:type="dxa"/>
            <w:shd w:val="pct12" w:color="auto" w:fill="auto"/>
            <w:vAlign w:val="center"/>
          </w:tcPr>
          <w:p w:rsidR="001521A7" w:rsidRPr="00305B21" w:rsidRDefault="001521A7" w:rsidP="001521A7">
            <w:pPr>
              <w:jc w:val="center"/>
              <w:rPr>
                <w:b/>
              </w:rPr>
            </w:pPr>
            <w:r w:rsidRPr="00305B21">
              <w:rPr>
                <w:b/>
              </w:rPr>
              <w:t>4</w:t>
            </w:r>
          </w:p>
        </w:tc>
      </w:tr>
      <w:tr w:rsidR="00CF4616" w:rsidTr="00CF4616">
        <w:tc>
          <w:tcPr>
            <w:tcW w:w="11808" w:type="dxa"/>
          </w:tcPr>
          <w:p w:rsidR="001521A7" w:rsidRDefault="001521A7" w:rsidP="001521A7">
            <w:r>
              <w:rPr>
                <w:b/>
              </w:rPr>
              <w:t>L.11-12</w:t>
            </w:r>
            <w:r w:rsidRPr="00E3211C">
              <w:rPr>
                <w:b/>
              </w:rPr>
              <w:t>.1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F068A8">
              <w:t>Demonstrate command of the conventions of standard English grammar and</w:t>
            </w:r>
            <w:r>
              <w:t xml:space="preserve"> </w:t>
            </w:r>
            <w:r w:rsidRPr="00F068A8">
              <w:t>usage when writing or speaking.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</w:tcPr>
          <w:p w:rsidR="001521A7" w:rsidRPr="00F068A8" w:rsidRDefault="001521A7" w:rsidP="001521A7">
            <w:pPr>
              <w:ind w:left="288"/>
              <w:rPr>
                <w:i/>
              </w:rPr>
            </w:pPr>
            <w:r w:rsidRPr="00725502">
              <w:rPr>
                <w:i/>
              </w:rPr>
              <w:t>a. Apply the understanding that usage is a matter of convention, can change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>over time, and is sometimes contested.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</w:tcPr>
          <w:p w:rsidR="001521A7" w:rsidRPr="00F068A8" w:rsidRDefault="001521A7" w:rsidP="001521A7">
            <w:pPr>
              <w:ind w:left="288"/>
              <w:rPr>
                <w:i/>
              </w:rPr>
            </w:pPr>
            <w:r w:rsidRPr="00725502">
              <w:rPr>
                <w:i/>
              </w:rPr>
              <w:t>b. Resolve issues of complex or contested usage, consulting references (e.g.,</w:t>
            </w:r>
            <w:r>
              <w:rPr>
                <w:i/>
              </w:rPr>
              <w:t xml:space="preserve"> </w:t>
            </w:r>
            <w:r w:rsidRPr="00725502">
              <w:rPr>
                <w:i/>
                <w:iCs/>
              </w:rPr>
              <w:t>Merriam-Webster’s Dictionary of English Usage, Garner’s Modern American</w:t>
            </w:r>
            <w:r>
              <w:rPr>
                <w:i/>
              </w:rPr>
              <w:t xml:space="preserve"> </w:t>
            </w:r>
            <w:r w:rsidRPr="00725502">
              <w:rPr>
                <w:i/>
                <w:iCs/>
              </w:rPr>
              <w:t>Usage</w:t>
            </w:r>
            <w:r w:rsidRPr="00725502">
              <w:rPr>
                <w:i/>
              </w:rPr>
              <w:t>) as needed.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</w:tcPr>
          <w:p w:rsidR="001521A7" w:rsidRPr="00F068A8" w:rsidRDefault="001521A7" w:rsidP="001521A7">
            <w:r>
              <w:rPr>
                <w:b/>
              </w:rPr>
              <w:t>L.11-12</w:t>
            </w:r>
            <w:r w:rsidRPr="00E3211C">
              <w:rPr>
                <w:b/>
              </w:rPr>
              <w:t>.2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F068A8">
              <w:t>Demonstrate command of the conventions of standard English capitalization,</w:t>
            </w:r>
            <w:r>
              <w:t xml:space="preserve"> </w:t>
            </w:r>
            <w:r w:rsidRPr="00F068A8">
              <w:t>punctuation, and spelling when writing.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</w:tcPr>
          <w:p w:rsidR="001521A7" w:rsidRPr="00F068A8" w:rsidRDefault="001521A7" w:rsidP="001521A7">
            <w:pPr>
              <w:tabs>
                <w:tab w:val="left" w:pos="1050"/>
              </w:tabs>
              <w:ind w:left="288"/>
              <w:rPr>
                <w:i/>
              </w:rPr>
            </w:pPr>
            <w:r w:rsidRPr="00725502">
              <w:rPr>
                <w:i/>
              </w:rPr>
              <w:t>a. Observe hyphenation conventions.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</w:tcPr>
          <w:p w:rsidR="001521A7" w:rsidRPr="00F068A8" w:rsidRDefault="001521A7" w:rsidP="001521A7">
            <w:pPr>
              <w:ind w:left="288"/>
              <w:rPr>
                <w:i/>
              </w:rPr>
            </w:pPr>
            <w:r w:rsidRPr="00725502">
              <w:rPr>
                <w:i/>
              </w:rPr>
              <w:t>b. Spell correctly.</w:t>
            </w:r>
          </w:p>
        </w:tc>
        <w:tc>
          <w:tcPr>
            <w:tcW w:w="36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270" w:type="dxa"/>
          </w:tcPr>
          <w:p w:rsidR="001521A7" w:rsidRDefault="001521A7" w:rsidP="001521A7"/>
        </w:tc>
        <w:tc>
          <w:tcPr>
            <w:tcW w:w="360" w:type="dxa"/>
          </w:tcPr>
          <w:p w:rsidR="001521A7" w:rsidRDefault="001521A7" w:rsidP="001521A7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r>
              <w:rPr>
                <w:b/>
              </w:rPr>
              <w:t>L.11-12</w:t>
            </w:r>
            <w:r w:rsidRPr="00E3211C">
              <w:rPr>
                <w:b/>
              </w:rPr>
              <w:t>.3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725502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725502">
              <w:t>Apply knowledge of language to understand how language functions in</w:t>
            </w:r>
            <w:r>
              <w:t xml:space="preserve"> </w:t>
            </w:r>
            <w:r w:rsidRPr="00725502">
              <w:t>different contexts, to make effective choices for meaning or style, and to</w:t>
            </w:r>
            <w:r>
              <w:t xml:space="preserve"> </w:t>
            </w:r>
            <w:r w:rsidRPr="00725502">
              <w:t>comprehend more fully when reading or listening.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E3211C" w:rsidRDefault="001521A7" w:rsidP="00E315B6">
            <w:pPr>
              <w:ind w:left="288"/>
              <w:rPr>
                <w:i/>
              </w:rPr>
            </w:pPr>
            <w:r w:rsidRPr="00725502">
              <w:rPr>
                <w:i/>
              </w:rPr>
              <w:t xml:space="preserve">a. Vary syntax for effect, consulting references (e.g., </w:t>
            </w:r>
            <w:proofErr w:type="spellStart"/>
            <w:r w:rsidRPr="00725502">
              <w:rPr>
                <w:i/>
              </w:rPr>
              <w:t>Tufte’s</w:t>
            </w:r>
            <w:proofErr w:type="spellEnd"/>
            <w:r w:rsidRPr="00725502">
              <w:rPr>
                <w:i/>
              </w:rPr>
              <w:t xml:space="preserve"> </w:t>
            </w:r>
            <w:r w:rsidRPr="00725502">
              <w:rPr>
                <w:i/>
                <w:iCs/>
              </w:rPr>
              <w:t>Artful Sentences</w:t>
            </w:r>
            <w:r w:rsidRPr="00725502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>for guidance as needed; apply an understanding of syntax to the study of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>complex texts when reading.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r>
              <w:rPr>
                <w:b/>
              </w:rPr>
              <w:t>L.11-12</w:t>
            </w:r>
            <w:r w:rsidRPr="00E3211C">
              <w:rPr>
                <w:b/>
              </w:rPr>
              <w:t>.4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725502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725502">
              <w:t>Determine or clarify the meaning of unknown and multiple-meaning words and</w:t>
            </w:r>
            <w:r>
              <w:t xml:space="preserve"> </w:t>
            </w:r>
            <w:r w:rsidRPr="00725502">
              <w:t xml:space="preserve">phrases based on </w:t>
            </w:r>
            <w:r w:rsidRPr="00725502">
              <w:rPr>
                <w:i/>
                <w:iCs/>
              </w:rPr>
              <w:t>grades 11–12 reading and content</w:t>
            </w:r>
            <w:r w:rsidRPr="00725502">
              <w:t>, choosing flexibly from a</w:t>
            </w:r>
            <w:r>
              <w:t xml:space="preserve"> </w:t>
            </w:r>
            <w:r w:rsidRPr="00725502">
              <w:t>range of strategies.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pPr>
              <w:ind w:left="288"/>
              <w:rPr>
                <w:i/>
              </w:rPr>
            </w:pPr>
            <w:r w:rsidRPr="00F068A8">
              <w:rPr>
                <w:i/>
              </w:rPr>
              <w:t>a. Use context (e.g., the overall meaning of a sentence, paragraph, or text; a</w:t>
            </w:r>
            <w:r>
              <w:rPr>
                <w:i/>
              </w:rPr>
              <w:t xml:space="preserve"> </w:t>
            </w:r>
            <w:r w:rsidRPr="00F068A8">
              <w:rPr>
                <w:i/>
              </w:rPr>
              <w:t>word’s position or function in a sentence) as a clue to the meaning of a word</w:t>
            </w:r>
            <w:r>
              <w:rPr>
                <w:i/>
              </w:rPr>
              <w:t xml:space="preserve"> </w:t>
            </w:r>
            <w:r w:rsidRPr="00F068A8">
              <w:rPr>
                <w:i/>
              </w:rPr>
              <w:t>or phrase.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pPr>
              <w:ind w:left="288"/>
              <w:rPr>
                <w:i/>
              </w:rPr>
            </w:pPr>
            <w:r w:rsidRPr="00725502">
              <w:rPr>
                <w:i/>
              </w:rPr>
              <w:t>b. Identify and correctly use patterns of word changes that indicate different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 xml:space="preserve">meanings or parts of speech (e.g., </w:t>
            </w:r>
            <w:r w:rsidRPr="00725502">
              <w:rPr>
                <w:i/>
                <w:iCs/>
              </w:rPr>
              <w:t>conceive, conception, conceivable</w:t>
            </w:r>
            <w:r w:rsidRPr="00725502">
              <w:rPr>
                <w:i/>
              </w:rPr>
              <w:t>).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pPr>
              <w:ind w:left="288"/>
              <w:rPr>
                <w:i/>
              </w:rPr>
            </w:pPr>
            <w:r w:rsidRPr="00725502">
              <w:rPr>
                <w:i/>
              </w:rPr>
              <w:t>c. Consult general and specialized reference materials (e.g., dictionaries,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>glossaries, thesauruses), both print and digital, to find the pronunciation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 xml:space="preserve">of a word or determine or clarify its precise meaning, </w:t>
            </w:r>
            <w:proofErr w:type="spellStart"/>
            <w:r w:rsidRPr="00725502">
              <w:rPr>
                <w:i/>
              </w:rPr>
              <w:t>its</w:t>
            </w:r>
            <w:proofErr w:type="spellEnd"/>
            <w:r w:rsidRPr="00725502">
              <w:rPr>
                <w:i/>
              </w:rPr>
              <w:t xml:space="preserve"> part of speech, its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>etymology, or its standard usage.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pPr>
              <w:ind w:left="288"/>
              <w:rPr>
                <w:i/>
              </w:rPr>
            </w:pPr>
            <w:r w:rsidRPr="00725502">
              <w:rPr>
                <w:i/>
              </w:rPr>
              <w:t>d. Verify the preliminary determination of the meaning of a word or phrase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>(e.g., by checking the inferred meaning in context or in a dictionary).</w:t>
            </w:r>
            <w:r w:rsidRPr="00F068A8">
              <w:rPr>
                <w:i/>
              </w:rPr>
              <w:t>or in a dictionary).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r>
              <w:rPr>
                <w:b/>
              </w:rPr>
              <w:t>L.11-12</w:t>
            </w:r>
            <w:r w:rsidRPr="00E3211C">
              <w:rPr>
                <w:b/>
              </w:rPr>
              <w:t>.5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F068A8">
              <w:t>Demonstrate understandi</w:t>
            </w:r>
            <w:r>
              <w:t xml:space="preserve">ng of figurative language, word </w:t>
            </w:r>
            <w:r w:rsidRPr="00F068A8">
              <w:t>relationships, and</w:t>
            </w:r>
            <w:r>
              <w:t xml:space="preserve"> </w:t>
            </w:r>
            <w:r w:rsidRPr="00F068A8">
              <w:t>nuances in word meanings.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pPr>
              <w:ind w:left="288"/>
              <w:rPr>
                <w:i/>
              </w:rPr>
            </w:pPr>
            <w:r w:rsidRPr="00725502">
              <w:rPr>
                <w:i/>
              </w:rPr>
              <w:t>a. Interpret figures of speech (e.g., hyperbole, paradox) in context and analyze</w:t>
            </w:r>
            <w:r>
              <w:rPr>
                <w:i/>
              </w:rPr>
              <w:t xml:space="preserve"> </w:t>
            </w:r>
            <w:r w:rsidRPr="00725502">
              <w:rPr>
                <w:i/>
              </w:rPr>
              <w:t>their role in the text.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F068A8" w:rsidRDefault="001521A7" w:rsidP="00E315B6">
            <w:pPr>
              <w:ind w:left="288"/>
              <w:rPr>
                <w:i/>
              </w:rPr>
            </w:pPr>
            <w:r w:rsidRPr="00725502">
              <w:rPr>
                <w:i/>
              </w:rPr>
              <w:t>b. Analyze nuances in the meaning of words with similar denotations.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  <w:tr w:rsidR="00CF4616" w:rsidTr="00CF4616">
        <w:tc>
          <w:tcPr>
            <w:tcW w:w="11808" w:type="dxa"/>
          </w:tcPr>
          <w:p w:rsidR="001521A7" w:rsidRPr="00725502" w:rsidRDefault="001521A7" w:rsidP="00E315B6">
            <w:r>
              <w:rPr>
                <w:b/>
              </w:rPr>
              <w:t>L.11-12</w:t>
            </w:r>
            <w:r w:rsidRPr="00E3211C">
              <w:rPr>
                <w:b/>
              </w:rPr>
              <w:t>.6</w:t>
            </w:r>
            <w:r>
              <w:t xml:space="preserve">   </w:t>
            </w:r>
            <w:r w:rsidRPr="00F068A8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725502">
              <w:rPr>
                <w:rFonts w:ascii="Gotham-Book" w:hAnsi="Gotham-Book" w:cs="Gotham-Book"/>
                <w:sz w:val="15"/>
                <w:szCs w:val="15"/>
              </w:rPr>
              <w:t xml:space="preserve"> </w:t>
            </w:r>
            <w:r w:rsidRPr="00725502">
              <w:t>Acquire and use accurately general academic and domain-specific words and</w:t>
            </w:r>
            <w:r>
              <w:t xml:space="preserve"> </w:t>
            </w:r>
            <w:r w:rsidRPr="00725502">
              <w:t>phrases, sufficient for reading, writing, speaking, and listening at the college</w:t>
            </w:r>
            <w:r>
              <w:t xml:space="preserve"> </w:t>
            </w:r>
            <w:r w:rsidRPr="00725502">
              <w:t>and career readiness level; demonstrate independence in gathering vocabulary</w:t>
            </w:r>
          </w:p>
          <w:p w:rsidR="001521A7" w:rsidRPr="00F068A8" w:rsidRDefault="001521A7" w:rsidP="00E315B6">
            <w:proofErr w:type="gramStart"/>
            <w:r w:rsidRPr="00725502">
              <w:t>knowledge</w:t>
            </w:r>
            <w:proofErr w:type="gramEnd"/>
            <w:r w:rsidRPr="00725502">
              <w:t xml:space="preserve"> when considering a word or phrase important to comprehension or</w:t>
            </w:r>
            <w:r>
              <w:t xml:space="preserve"> </w:t>
            </w:r>
            <w:r w:rsidRPr="00725502">
              <w:t>expression.</w:t>
            </w:r>
          </w:p>
        </w:tc>
        <w:tc>
          <w:tcPr>
            <w:tcW w:w="36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270" w:type="dxa"/>
          </w:tcPr>
          <w:p w:rsidR="001521A7" w:rsidRDefault="001521A7" w:rsidP="00E315B6"/>
        </w:tc>
        <w:tc>
          <w:tcPr>
            <w:tcW w:w="360" w:type="dxa"/>
          </w:tcPr>
          <w:p w:rsidR="001521A7" w:rsidRDefault="001521A7" w:rsidP="00E315B6"/>
        </w:tc>
      </w:tr>
    </w:tbl>
    <w:p w:rsidR="00C76E2D" w:rsidRDefault="00C76E2D" w:rsidP="00CF4616"/>
    <w:sectPr w:rsidR="00C76E2D" w:rsidSect="00C76E2D">
      <w:pgSz w:w="15840" w:h="12240" w:orient="landscape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152D"/>
    <w:rsid w:val="0001481B"/>
    <w:rsid w:val="00106D42"/>
    <w:rsid w:val="00125632"/>
    <w:rsid w:val="001521A7"/>
    <w:rsid w:val="001A6225"/>
    <w:rsid w:val="002E22F0"/>
    <w:rsid w:val="00305B21"/>
    <w:rsid w:val="00347A61"/>
    <w:rsid w:val="003E152D"/>
    <w:rsid w:val="003E4E73"/>
    <w:rsid w:val="0043266C"/>
    <w:rsid w:val="004547F4"/>
    <w:rsid w:val="004B46A6"/>
    <w:rsid w:val="005A783F"/>
    <w:rsid w:val="00675CF6"/>
    <w:rsid w:val="00725502"/>
    <w:rsid w:val="00744F8B"/>
    <w:rsid w:val="00B75FF7"/>
    <w:rsid w:val="00C123AD"/>
    <w:rsid w:val="00C13A43"/>
    <w:rsid w:val="00C15590"/>
    <w:rsid w:val="00C76E2D"/>
    <w:rsid w:val="00CF4616"/>
    <w:rsid w:val="00D33E1C"/>
    <w:rsid w:val="00D954DC"/>
    <w:rsid w:val="00DA0B08"/>
    <w:rsid w:val="00DE5A60"/>
    <w:rsid w:val="00E12391"/>
    <w:rsid w:val="00E3211C"/>
    <w:rsid w:val="00F0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1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pls-level2-word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2018-01-03T18:17:57+00:00</ModifiedBeforeRun>
    <LifetimeViews xmlns="d21dc803-237d-4c68-8692-8d731fd29118">145</LifetimeViews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D89FD01C-EB98-4812-BEFC-1F498D4B637E}"/>
</file>

<file path=customXml/itemProps2.xml><?xml version="1.0" encoding="utf-8"?>
<ds:datastoreItem xmlns:ds="http://schemas.openxmlformats.org/officeDocument/2006/customXml" ds:itemID="{0AC7BA4A-ED8A-469D-9817-F7DBB867ED9D}"/>
</file>

<file path=customXml/itemProps3.xml><?xml version="1.0" encoding="utf-8"?>
<ds:datastoreItem xmlns:ds="http://schemas.openxmlformats.org/officeDocument/2006/customXml" ds:itemID="{1BD564E7-8CD1-4814-B110-660C8B2DE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Core State Standards for English Language Arts—Grades 11-12</dc:title>
  <dc:creator>eiwersen</dc:creator>
  <cp:lastModifiedBy>Jill Brown</cp:lastModifiedBy>
  <cp:revision>9</cp:revision>
  <dcterms:created xsi:type="dcterms:W3CDTF">2012-07-12T17:16:00Z</dcterms:created>
  <dcterms:modified xsi:type="dcterms:W3CDTF">2012-10-16T17:14:00Z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