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98" w:type="dxa"/>
        <w:tblBorders>
          <w:bottom w:val="single" w:sz="18" w:space="0" w:color="auto"/>
        </w:tblBorders>
        <w:tblLayout w:type="fixed"/>
        <w:tblLook w:val="0000" w:firstRow="0" w:lastRow="0" w:firstColumn="0" w:lastColumn="0" w:noHBand="0" w:noVBand="0"/>
      </w:tblPr>
      <w:tblGrid>
        <w:gridCol w:w="1647"/>
        <w:gridCol w:w="8838"/>
      </w:tblGrid>
      <w:tr w:rsidR="00100C40" w14:paraId="08BBE5DB" w14:textId="77777777" w:rsidTr="00B72A87">
        <w:trPr>
          <w:trHeight w:hRule="exact" w:val="2070"/>
        </w:trPr>
        <w:tc>
          <w:tcPr>
            <w:tcW w:w="1647" w:type="dxa"/>
          </w:tcPr>
          <w:bookmarkStart w:id="0" w:name="_GoBack"/>
          <w:bookmarkEnd w:id="0"/>
          <w:p w14:paraId="18824F13" w14:textId="77777777" w:rsidR="00100C40" w:rsidRDefault="00100C40" w:rsidP="00B72A87">
            <w:pPr>
              <w:ind w:left="-288"/>
            </w:pPr>
            <w:r>
              <w:object w:dxaOrig="11429" w:dyaOrig="11954" w14:anchorId="12A35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96.25pt" o:ole="" fillcolor="window">
                  <v:imagedata r:id="rId9" o:title="" cropbottom="-238f" cropright="-249f"/>
                </v:shape>
                <o:OLEObject Type="Embed" ProgID="MsImager.1" ShapeID="_x0000_i1025" DrawAspect="Content" ObjectID="_1507639044" r:id="rId10"/>
              </w:object>
            </w:r>
          </w:p>
        </w:tc>
        <w:tc>
          <w:tcPr>
            <w:tcW w:w="8838" w:type="dxa"/>
          </w:tcPr>
          <w:tbl>
            <w:tblPr>
              <w:tblW w:w="10538" w:type="dxa"/>
              <w:tblLayout w:type="fixed"/>
              <w:tblLook w:val="0000" w:firstRow="0" w:lastRow="0" w:firstColumn="0" w:lastColumn="0" w:noHBand="0" w:noVBand="0"/>
            </w:tblPr>
            <w:tblGrid>
              <w:gridCol w:w="10538"/>
            </w:tblGrid>
            <w:tr w:rsidR="00100C40" w14:paraId="0E13279D" w14:textId="77777777" w:rsidTr="00B72A87">
              <w:trPr>
                <w:trHeight w:val="1860"/>
              </w:trPr>
              <w:tc>
                <w:tcPr>
                  <w:tcW w:w="10538" w:type="dxa"/>
                </w:tcPr>
                <w:p w14:paraId="5A204E5D" w14:textId="77777777" w:rsidR="00100C40" w:rsidRDefault="00100C40" w:rsidP="00B72A87">
                  <w:pPr>
                    <w:spacing w:before="280"/>
                    <w:rPr>
                      <w:rFonts w:ascii="Arial Black" w:hAnsi="Arial Black"/>
                      <w:b/>
                      <w:bCs/>
                      <w:spacing w:val="-20"/>
                      <w:sz w:val="52"/>
                    </w:rPr>
                  </w:pPr>
                  <w:r>
                    <w:rPr>
                      <w:rFonts w:ascii="Arial Black" w:hAnsi="Arial Black"/>
                      <w:b/>
                      <w:bCs/>
                      <w:spacing w:val="-20"/>
                      <w:sz w:val="52"/>
                    </w:rPr>
                    <w:t>Illinois</w:t>
                  </w:r>
                  <w:r>
                    <w:rPr>
                      <w:rFonts w:ascii="Arial Black" w:hAnsi="Arial Black"/>
                      <w:b/>
                      <w:bCs/>
                      <w:spacing w:val="-20"/>
                      <w:sz w:val="54"/>
                    </w:rPr>
                    <w:t xml:space="preserve"> </w:t>
                  </w:r>
                  <w:r>
                    <w:rPr>
                      <w:rFonts w:ascii="Arial Black" w:hAnsi="Arial Black"/>
                      <w:b/>
                      <w:bCs/>
                      <w:spacing w:val="-20"/>
                      <w:sz w:val="52"/>
                    </w:rPr>
                    <w:t>State</w:t>
                  </w:r>
                  <w:r>
                    <w:rPr>
                      <w:rFonts w:ascii="Arial Black" w:hAnsi="Arial Black"/>
                      <w:b/>
                      <w:bCs/>
                      <w:spacing w:val="-20"/>
                      <w:sz w:val="54"/>
                    </w:rPr>
                    <w:t xml:space="preserve"> </w:t>
                  </w:r>
                  <w:r>
                    <w:rPr>
                      <w:rFonts w:ascii="Arial Black" w:hAnsi="Arial Black"/>
                      <w:b/>
                      <w:bCs/>
                      <w:spacing w:val="-20"/>
                      <w:sz w:val="52"/>
                    </w:rPr>
                    <w:t>Board</w:t>
                  </w:r>
                  <w:r>
                    <w:rPr>
                      <w:rFonts w:ascii="Arial Black" w:hAnsi="Arial Black"/>
                      <w:b/>
                      <w:bCs/>
                      <w:spacing w:val="-20"/>
                      <w:sz w:val="54"/>
                    </w:rPr>
                    <w:t xml:space="preserve"> </w:t>
                  </w:r>
                  <w:r>
                    <w:rPr>
                      <w:rFonts w:ascii="Arial Black" w:hAnsi="Arial Black"/>
                      <w:b/>
                      <w:bCs/>
                      <w:spacing w:val="-20"/>
                      <w:sz w:val="52"/>
                    </w:rPr>
                    <w:t>of</w:t>
                  </w:r>
                  <w:r>
                    <w:rPr>
                      <w:rFonts w:ascii="Arial Black" w:hAnsi="Arial Black"/>
                      <w:b/>
                      <w:bCs/>
                      <w:spacing w:val="-20"/>
                      <w:sz w:val="54"/>
                    </w:rPr>
                    <w:t xml:space="preserve"> </w:t>
                  </w:r>
                  <w:r>
                    <w:rPr>
                      <w:rFonts w:ascii="Arial Black" w:hAnsi="Arial Black"/>
                      <w:b/>
                      <w:bCs/>
                      <w:spacing w:val="-20"/>
                      <w:sz w:val="52"/>
                    </w:rPr>
                    <w:t>Education</w:t>
                  </w:r>
                </w:p>
                <w:p w14:paraId="246B240C" w14:textId="77777777" w:rsidR="00100C40" w:rsidRDefault="00100C40" w:rsidP="00B72A87">
                  <w:pPr>
                    <w:tabs>
                      <w:tab w:val="right" w:pos="8569"/>
                    </w:tabs>
                    <w:spacing w:before="60"/>
                    <w:rPr>
                      <w:sz w:val="16"/>
                    </w:rPr>
                  </w:pPr>
                  <w:r>
                    <w:rPr>
                      <w:sz w:val="16"/>
                    </w:rPr>
                    <w:t xml:space="preserve">100 North First Street </w:t>
                  </w:r>
                  <w:r>
                    <w:rPr>
                      <w:rFonts w:ascii="Lucida Console" w:hAnsi="Lucida Console"/>
                      <w:b/>
                      <w:bCs/>
                      <w:position w:val="2"/>
                      <w:sz w:val="14"/>
                    </w:rPr>
                    <w:t>•</w:t>
                  </w:r>
                  <w:r>
                    <w:rPr>
                      <w:sz w:val="16"/>
                    </w:rPr>
                    <w:t xml:space="preserve"> Springfield, Illinois 62777-0001</w:t>
                  </w:r>
                </w:p>
                <w:p w14:paraId="3D52A72B" w14:textId="77777777" w:rsidR="00100C40" w:rsidRDefault="00100C40" w:rsidP="00B72A87">
                  <w:pPr>
                    <w:tabs>
                      <w:tab w:val="right" w:pos="8569"/>
                    </w:tabs>
                    <w:rPr>
                      <w:sz w:val="16"/>
                    </w:rPr>
                  </w:pPr>
                  <w:r>
                    <w:rPr>
                      <w:sz w:val="16"/>
                    </w:rPr>
                    <w:t>www.isbe.net</w:t>
                  </w:r>
                </w:p>
                <w:p w14:paraId="26E3E90D" w14:textId="77777777" w:rsidR="00100C40" w:rsidRPr="003E1B49" w:rsidRDefault="00100C40" w:rsidP="00B72A87">
                  <w:pPr>
                    <w:tabs>
                      <w:tab w:val="right" w:pos="8569"/>
                    </w:tabs>
                    <w:rPr>
                      <w:i/>
                      <w:iCs/>
                      <w:sz w:val="12"/>
                      <w:szCs w:val="12"/>
                    </w:rPr>
                  </w:pPr>
                </w:p>
                <w:p w14:paraId="107055B1" w14:textId="77777777" w:rsidR="00100C40" w:rsidRPr="00BF44DC" w:rsidRDefault="00932B2D" w:rsidP="00B72A87">
                  <w:pPr>
                    <w:tabs>
                      <w:tab w:val="right" w:pos="8569"/>
                    </w:tabs>
                    <w:rPr>
                      <w:b/>
                      <w:iCs/>
                      <w:sz w:val="16"/>
                      <w:szCs w:val="16"/>
                    </w:rPr>
                  </w:pPr>
                  <w:r>
                    <w:rPr>
                      <w:b/>
                      <w:bCs/>
                      <w:sz w:val="16"/>
                    </w:rPr>
                    <w:t xml:space="preserve">James T. Meeks </w:t>
                  </w:r>
                  <w:r w:rsidR="00100C40">
                    <w:rPr>
                      <w:i/>
                      <w:iCs/>
                      <w:sz w:val="16"/>
                    </w:rPr>
                    <w:tab/>
                  </w:r>
                  <w:r>
                    <w:rPr>
                      <w:b/>
                      <w:bCs/>
                      <w:sz w:val="16"/>
                    </w:rPr>
                    <w:t>Tony Smith, Ph.D.</w:t>
                  </w:r>
                </w:p>
                <w:p w14:paraId="40942318" w14:textId="77777777" w:rsidR="00100C40" w:rsidRDefault="00BC14FF" w:rsidP="00BC14FF">
                  <w:pPr>
                    <w:tabs>
                      <w:tab w:val="right" w:pos="8577"/>
                      <w:tab w:val="right" w:pos="10656"/>
                    </w:tabs>
                    <w:rPr>
                      <w:rFonts w:ascii="Arial Black" w:hAnsi="Arial Black"/>
                      <w:b/>
                      <w:bCs/>
                      <w:spacing w:val="-20"/>
                      <w:sz w:val="52"/>
                    </w:rPr>
                  </w:pPr>
                  <w:r>
                    <w:rPr>
                      <w:i/>
                      <w:iCs/>
                      <w:sz w:val="16"/>
                    </w:rPr>
                    <w:t>Chairman</w:t>
                  </w:r>
                  <w:r w:rsidR="00100C40">
                    <w:rPr>
                      <w:b/>
                      <w:bCs/>
                      <w:sz w:val="16"/>
                    </w:rPr>
                    <w:tab/>
                  </w:r>
                  <w:r w:rsidR="00100C40">
                    <w:rPr>
                      <w:i/>
                      <w:iCs/>
                      <w:sz w:val="16"/>
                    </w:rPr>
                    <w:t>State Superintendent of Education</w:t>
                  </w:r>
                  <w:r w:rsidR="00100C40" w:rsidRPr="003121AE">
                    <w:rPr>
                      <w:bCs/>
                      <w:i/>
                      <w:sz w:val="16"/>
                    </w:rPr>
                    <w:t xml:space="preserve"> </w:t>
                  </w:r>
                </w:p>
              </w:tc>
            </w:tr>
            <w:tr w:rsidR="00100C40" w14:paraId="2218FFFF" w14:textId="77777777" w:rsidTr="00B72A87">
              <w:trPr>
                <w:trHeight w:val="80"/>
              </w:trPr>
              <w:tc>
                <w:tcPr>
                  <w:tcW w:w="10538" w:type="dxa"/>
                </w:tcPr>
                <w:p w14:paraId="0FE367FD" w14:textId="77777777" w:rsidR="00100C40" w:rsidRDefault="00100C40" w:rsidP="00B72A87">
                  <w:pPr>
                    <w:spacing w:before="280"/>
                    <w:rPr>
                      <w:rFonts w:ascii="Arial Black" w:hAnsi="Arial Black"/>
                      <w:b/>
                      <w:bCs/>
                      <w:spacing w:val="-20"/>
                      <w:sz w:val="52"/>
                    </w:rPr>
                  </w:pPr>
                </w:p>
              </w:tc>
            </w:tr>
          </w:tbl>
          <w:p w14:paraId="34219E1F" w14:textId="77777777" w:rsidR="00100C40" w:rsidRDefault="00100C40" w:rsidP="00B72A87">
            <w:pPr>
              <w:spacing w:before="480"/>
              <w:rPr>
                <w:b/>
                <w:bCs/>
                <w:spacing w:val="60"/>
                <w:sz w:val="44"/>
              </w:rPr>
            </w:pPr>
          </w:p>
        </w:tc>
      </w:tr>
    </w:tbl>
    <w:p w14:paraId="2B6DA6D3" w14:textId="77777777" w:rsidR="003E64B5" w:rsidRDefault="003E64B5">
      <w:pPr>
        <w:sectPr w:rsidR="003E64B5" w:rsidSect="00463F0F">
          <w:pgSz w:w="12240" w:h="15840"/>
          <w:pgMar w:top="360" w:right="720" w:bottom="360" w:left="720" w:header="720" w:footer="720" w:gutter="0"/>
          <w:cols w:space="720"/>
          <w:docGrid w:linePitch="360"/>
        </w:sectPr>
      </w:pPr>
    </w:p>
    <w:p w14:paraId="28A5C332" w14:textId="77777777" w:rsidR="00454C1A" w:rsidRDefault="00454C1A"/>
    <w:p w14:paraId="7A3E2722" w14:textId="77777777" w:rsidR="00B25BB1" w:rsidRPr="00B25BB1" w:rsidRDefault="00B25BB1" w:rsidP="006757B8">
      <w:pPr>
        <w:rPr>
          <w:rFonts w:cs="Arial"/>
          <w:spacing w:val="40"/>
          <w:sz w:val="36"/>
          <w:szCs w:val="36"/>
        </w:rPr>
      </w:pPr>
      <w:r w:rsidRPr="00B25BB1">
        <w:rPr>
          <w:rFonts w:cs="Arial"/>
          <w:spacing w:val="40"/>
          <w:sz w:val="36"/>
          <w:szCs w:val="36"/>
        </w:rPr>
        <w:t>FACT SHEET</w:t>
      </w:r>
    </w:p>
    <w:p w14:paraId="3D70389D" w14:textId="46A61563" w:rsidR="00B25BB1" w:rsidRPr="0068517C" w:rsidRDefault="007D162A" w:rsidP="006757B8">
      <w:pPr>
        <w:rPr>
          <w:sz w:val="49"/>
          <w:szCs w:val="49"/>
        </w:rPr>
      </w:pPr>
      <w:r>
        <w:rPr>
          <w:b/>
          <w:sz w:val="49"/>
          <w:szCs w:val="49"/>
        </w:rPr>
        <w:t xml:space="preserve">2015 </w:t>
      </w:r>
      <w:r w:rsidR="00F66A61">
        <w:rPr>
          <w:b/>
          <w:sz w:val="49"/>
          <w:szCs w:val="49"/>
        </w:rPr>
        <w:t xml:space="preserve">Illinois </w:t>
      </w:r>
      <w:r>
        <w:rPr>
          <w:b/>
          <w:sz w:val="49"/>
          <w:szCs w:val="49"/>
        </w:rPr>
        <w:t xml:space="preserve">Report Card </w:t>
      </w:r>
    </w:p>
    <w:p w14:paraId="1538C338" w14:textId="5037D8E4" w:rsidR="00F416BA" w:rsidRDefault="007D162A" w:rsidP="006757B8">
      <w:pPr>
        <w:rPr>
          <w:rFonts w:ascii="Verdana" w:hAnsi="Verdana"/>
          <w:i/>
          <w:sz w:val="20"/>
        </w:rPr>
      </w:pPr>
      <w:r>
        <w:rPr>
          <w:rFonts w:ascii="Verdana" w:hAnsi="Verdana"/>
          <w:i/>
          <w:sz w:val="20"/>
        </w:rPr>
        <w:t>October</w:t>
      </w:r>
      <w:r w:rsidR="00AA0BCE">
        <w:rPr>
          <w:rFonts w:ascii="Verdana" w:hAnsi="Verdana"/>
          <w:i/>
          <w:sz w:val="20"/>
        </w:rPr>
        <w:t xml:space="preserve"> 2015</w:t>
      </w:r>
      <w:r w:rsidR="00B25BB1">
        <w:rPr>
          <w:rFonts w:ascii="Verdana" w:hAnsi="Verdana"/>
          <w:i/>
          <w:sz w:val="20"/>
        </w:rPr>
        <w:t xml:space="preserve">, ISBE </w:t>
      </w:r>
      <w:r w:rsidR="00AE0EC4" w:rsidRPr="00B25BB1">
        <w:rPr>
          <w:rFonts w:ascii="Verdana" w:hAnsi="Verdana"/>
          <w:i/>
          <w:sz w:val="20"/>
        </w:rPr>
        <w:t>Division of Public Information</w:t>
      </w:r>
    </w:p>
    <w:p w14:paraId="3DA5E933" w14:textId="77777777" w:rsidR="006757B8" w:rsidRPr="007C7D20" w:rsidRDefault="006757B8" w:rsidP="006757B8">
      <w:pPr>
        <w:rPr>
          <w:rFonts w:ascii="Verdana" w:hAnsi="Verdana"/>
          <w:i/>
          <w:sz w:val="20"/>
        </w:rPr>
      </w:pPr>
    </w:p>
    <w:p w14:paraId="0C4E5FA3" w14:textId="46062DE0" w:rsidR="00F66A61" w:rsidRDefault="00F66A61" w:rsidP="00F66A61">
      <w:pPr>
        <w:rPr>
          <w:rFonts w:ascii="Verdana" w:hAnsi="Verdana"/>
          <w:sz w:val="20"/>
        </w:rPr>
      </w:pPr>
      <w:r>
        <w:rPr>
          <w:rFonts w:ascii="Verdana" w:hAnsi="Verdana"/>
          <w:sz w:val="20"/>
        </w:rPr>
        <w:t xml:space="preserve">The 2015 Illinois Report Card provides several new informative metrics and features </w:t>
      </w:r>
      <w:r w:rsidR="0029061C">
        <w:rPr>
          <w:rFonts w:ascii="Verdana" w:hAnsi="Verdana"/>
          <w:sz w:val="20"/>
        </w:rPr>
        <w:t xml:space="preserve">in order </w:t>
      </w:r>
      <w:r w:rsidR="00AB482B">
        <w:rPr>
          <w:rFonts w:ascii="Verdana" w:hAnsi="Verdana"/>
          <w:sz w:val="20"/>
        </w:rPr>
        <w:t>to provide</w:t>
      </w:r>
      <w:r w:rsidR="0029061C">
        <w:rPr>
          <w:rFonts w:ascii="Verdana" w:hAnsi="Verdana"/>
          <w:sz w:val="20"/>
        </w:rPr>
        <w:t xml:space="preserve"> </w:t>
      </w:r>
      <w:r>
        <w:rPr>
          <w:rFonts w:ascii="Verdana" w:hAnsi="Verdana"/>
          <w:sz w:val="20"/>
        </w:rPr>
        <w:t xml:space="preserve">a more complete picture of student and school progress, especially in </w:t>
      </w:r>
      <w:r w:rsidR="0029061C">
        <w:rPr>
          <w:rFonts w:ascii="Verdana" w:hAnsi="Verdana"/>
          <w:sz w:val="20"/>
        </w:rPr>
        <w:t>regard to</w:t>
      </w:r>
      <w:r>
        <w:rPr>
          <w:rFonts w:ascii="Verdana" w:hAnsi="Verdana"/>
          <w:sz w:val="20"/>
        </w:rPr>
        <w:t xml:space="preserve"> meeting college and career readiness benchmarks. These updates further enhance the Report Card, which was redesigned in 2013 to provide multiple measures of student and school performance in a consumer-friendl</w:t>
      </w:r>
      <w:r w:rsidR="00AB482B">
        <w:rPr>
          <w:rFonts w:ascii="Verdana" w:hAnsi="Verdana"/>
          <w:sz w:val="20"/>
        </w:rPr>
        <w:t>y format. The Report Card fosters</w:t>
      </w:r>
      <w:r>
        <w:rPr>
          <w:rFonts w:ascii="Verdana" w:hAnsi="Verdana"/>
          <w:sz w:val="20"/>
        </w:rPr>
        <w:t xml:space="preserve"> better informed discussions about the unique qualities of public schools and school improvement efforts</w:t>
      </w:r>
      <w:r w:rsidR="0029061C">
        <w:rPr>
          <w:rFonts w:ascii="Verdana" w:hAnsi="Verdana"/>
          <w:sz w:val="20"/>
        </w:rPr>
        <w:t>. It also</w:t>
      </w:r>
      <w:r>
        <w:rPr>
          <w:rFonts w:ascii="Verdana" w:hAnsi="Verdana"/>
          <w:sz w:val="20"/>
        </w:rPr>
        <w:t xml:space="preserve"> reflects our state’s transition to higher learning standards and performance expectations. </w:t>
      </w:r>
    </w:p>
    <w:p w14:paraId="62B05C38" w14:textId="77777777" w:rsidR="00F66A61" w:rsidRDefault="00F66A61" w:rsidP="00F66A61">
      <w:pPr>
        <w:rPr>
          <w:rFonts w:ascii="Verdana" w:hAnsi="Verdana"/>
          <w:sz w:val="20"/>
        </w:rPr>
      </w:pPr>
    </w:p>
    <w:p w14:paraId="7EDF4903" w14:textId="6FE51317" w:rsidR="00F66A61" w:rsidRDefault="00CE13CD" w:rsidP="00F66A61">
      <w:pPr>
        <w:rPr>
          <w:rFonts w:ascii="Verdana" w:hAnsi="Verdana"/>
          <w:sz w:val="20"/>
        </w:rPr>
      </w:pPr>
      <w:r>
        <w:rPr>
          <w:rFonts w:ascii="Verdana" w:hAnsi="Verdana"/>
          <w:sz w:val="20"/>
        </w:rPr>
        <w:t xml:space="preserve">The 2015 Report Card will be </w:t>
      </w:r>
      <w:r w:rsidR="00F66A61">
        <w:rPr>
          <w:rFonts w:ascii="Verdana" w:hAnsi="Verdana"/>
          <w:sz w:val="20"/>
        </w:rPr>
        <w:t>available</w:t>
      </w:r>
      <w:r>
        <w:rPr>
          <w:rFonts w:ascii="Verdana" w:hAnsi="Verdana"/>
          <w:sz w:val="20"/>
        </w:rPr>
        <w:t xml:space="preserve"> on Oct. 30</w:t>
      </w:r>
      <w:r w:rsidR="00F66A61">
        <w:rPr>
          <w:rFonts w:ascii="Verdana" w:hAnsi="Verdana"/>
          <w:sz w:val="20"/>
        </w:rPr>
        <w:t xml:space="preserve"> at </w:t>
      </w:r>
      <w:hyperlink r:id="rId11" w:history="1">
        <w:r w:rsidR="00F66A61" w:rsidRPr="00916C95">
          <w:rPr>
            <w:rStyle w:val="Hyperlink"/>
            <w:rFonts w:ascii="Verdana" w:hAnsi="Verdana"/>
            <w:sz w:val="20"/>
          </w:rPr>
          <w:t>www.illinoisreportcard.com</w:t>
        </w:r>
      </w:hyperlink>
      <w:r w:rsidR="00461858">
        <w:rPr>
          <w:rFonts w:ascii="Verdana" w:hAnsi="Verdana"/>
          <w:sz w:val="20"/>
        </w:rPr>
        <w:t xml:space="preserve">. It provides at-a-glance information about </w:t>
      </w:r>
      <w:r w:rsidR="007C08C8">
        <w:rPr>
          <w:rFonts w:ascii="Verdana" w:hAnsi="Verdana"/>
          <w:sz w:val="20"/>
        </w:rPr>
        <w:t xml:space="preserve">student growth and achievement, school climate and conditions, college and career readiness, and school courses and programs. </w:t>
      </w:r>
      <w:r w:rsidR="00F66A61">
        <w:rPr>
          <w:rFonts w:ascii="Verdana" w:hAnsi="Verdana"/>
          <w:sz w:val="20"/>
        </w:rPr>
        <w:t xml:space="preserve">A summary of information available </w:t>
      </w:r>
      <w:r w:rsidR="007F09A2">
        <w:rPr>
          <w:rFonts w:ascii="Verdana" w:hAnsi="Verdana"/>
          <w:sz w:val="20"/>
        </w:rPr>
        <w:t>for public use</w:t>
      </w:r>
      <w:r w:rsidR="00F66A61">
        <w:rPr>
          <w:rFonts w:ascii="Verdana" w:hAnsi="Verdana"/>
          <w:sz w:val="20"/>
        </w:rPr>
        <w:t xml:space="preserve"> is below</w:t>
      </w:r>
      <w:r w:rsidR="007F09A2">
        <w:rPr>
          <w:rFonts w:ascii="Verdana" w:hAnsi="Verdana"/>
          <w:sz w:val="20"/>
        </w:rPr>
        <w:t>:</w:t>
      </w:r>
      <w:r w:rsidR="00F66A61">
        <w:rPr>
          <w:rFonts w:ascii="Verdana" w:hAnsi="Verdana"/>
          <w:sz w:val="20"/>
        </w:rPr>
        <w:t xml:space="preserve"> </w:t>
      </w:r>
    </w:p>
    <w:p w14:paraId="583D3C40" w14:textId="77777777" w:rsidR="00F66A61" w:rsidRDefault="00F66A61" w:rsidP="00F66A61">
      <w:pPr>
        <w:rPr>
          <w:rFonts w:ascii="Verdana" w:hAnsi="Verdana"/>
          <w:sz w:val="20"/>
        </w:rPr>
      </w:pPr>
    </w:p>
    <w:p w14:paraId="403D5764" w14:textId="77777777" w:rsidR="00F66A61" w:rsidRPr="00C6197F" w:rsidRDefault="00F66A61" w:rsidP="00F66A61">
      <w:pPr>
        <w:rPr>
          <w:rFonts w:ascii="Verdana" w:hAnsi="Verdana"/>
          <w:sz w:val="20"/>
        </w:rPr>
      </w:pPr>
    </w:p>
    <w:p w14:paraId="5700F24C" w14:textId="39D36966" w:rsidR="00F66A61" w:rsidRDefault="004571D7" w:rsidP="00F66A61">
      <w:pPr>
        <w:jc w:val="center"/>
        <w:rPr>
          <w:rFonts w:ascii="Verdana" w:hAnsi="Verdana"/>
          <w:b/>
          <w:sz w:val="20"/>
        </w:rPr>
      </w:pPr>
      <w:r>
        <w:rPr>
          <w:rFonts w:ascii="Verdana" w:hAnsi="Verdana"/>
          <w:b/>
          <w:sz w:val="20"/>
        </w:rPr>
        <w:t xml:space="preserve">New </w:t>
      </w:r>
      <w:r w:rsidR="00F66A61" w:rsidRPr="00B9334F">
        <w:rPr>
          <w:rFonts w:ascii="Verdana" w:hAnsi="Verdana"/>
          <w:b/>
          <w:sz w:val="20"/>
        </w:rPr>
        <w:t>Metrics</w:t>
      </w:r>
      <w:r>
        <w:rPr>
          <w:rFonts w:ascii="Verdana" w:hAnsi="Verdana"/>
          <w:b/>
          <w:sz w:val="20"/>
        </w:rPr>
        <w:t xml:space="preserve"> and Features</w:t>
      </w:r>
      <w:r w:rsidR="004E6335">
        <w:rPr>
          <w:rFonts w:ascii="Verdana" w:hAnsi="Verdana"/>
          <w:b/>
          <w:sz w:val="20"/>
        </w:rPr>
        <w:t xml:space="preserve"> in 2015</w:t>
      </w:r>
    </w:p>
    <w:p w14:paraId="6105C4DC" w14:textId="77777777" w:rsidR="004571D7" w:rsidRDefault="004571D7" w:rsidP="00F66A61">
      <w:pPr>
        <w:jc w:val="center"/>
        <w:rPr>
          <w:rFonts w:ascii="Verdana" w:hAnsi="Verdana"/>
          <w:b/>
          <w:sz w:val="20"/>
        </w:rPr>
      </w:pPr>
    </w:p>
    <w:p w14:paraId="4C3C0D2B" w14:textId="1BF95A2A" w:rsidR="00AE7D9C" w:rsidRDefault="00AE7D9C" w:rsidP="00FF7AE2">
      <w:pPr>
        <w:rPr>
          <w:rFonts w:ascii="Verdana" w:hAnsi="Verdana"/>
          <w:sz w:val="20"/>
        </w:rPr>
      </w:pPr>
      <w:r w:rsidRPr="006A5108">
        <w:rPr>
          <w:rFonts w:ascii="Verdana" w:hAnsi="Verdana"/>
          <w:b/>
          <w:sz w:val="20"/>
        </w:rPr>
        <w:t xml:space="preserve">Percentage of </w:t>
      </w:r>
      <w:r w:rsidR="00CC77E3">
        <w:rPr>
          <w:rFonts w:ascii="Verdana" w:hAnsi="Verdana"/>
          <w:b/>
          <w:sz w:val="20"/>
        </w:rPr>
        <w:t>Eighth</w:t>
      </w:r>
      <w:r w:rsidRPr="006A5108">
        <w:rPr>
          <w:rFonts w:ascii="Verdana" w:hAnsi="Verdana"/>
          <w:b/>
          <w:sz w:val="20"/>
        </w:rPr>
        <w:t xml:space="preserve"> Graders Passing Algebra I:</w:t>
      </w:r>
      <w:r>
        <w:rPr>
          <w:rFonts w:ascii="Verdana" w:hAnsi="Verdana"/>
          <w:sz w:val="20"/>
        </w:rPr>
        <w:t xml:space="preserve"> </w:t>
      </w:r>
      <w:r w:rsidRPr="00AE7D9C">
        <w:rPr>
          <w:rFonts w:ascii="Verdana" w:hAnsi="Verdana"/>
          <w:sz w:val="20"/>
        </w:rPr>
        <w:t xml:space="preserve">This metric </w:t>
      </w:r>
      <w:r>
        <w:rPr>
          <w:rFonts w:ascii="Verdana" w:hAnsi="Verdana"/>
          <w:sz w:val="20"/>
        </w:rPr>
        <w:t>reports</w:t>
      </w:r>
      <w:r w:rsidRPr="00AE7D9C">
        <w:rPr>
          <w:rFonts w:ascii="Verdana" w:hAnsi="Verdana"/>
          <w:sz w:val="20"/>
        </w:rPr>
        <w:t xml:space="preserve"> the percentage of the student</w:t>
      </w:r>
      <w:r w:rsidR="0016010F">
        <w:rPr>
          <w:rFonts w:ascii="Verdana" w:hAnsi="Verdana"/>
          <w:sz w:val="20"/>
        </w:rPr>
        <w:t xml:space="preserve">s who have passed Algebra I by eighth grade. </w:t>
      </w:r>
      <w:r w:rsidR="00764050">
        <w:rPr>
          <w:rFonts w:ascii="Verdana" w:hAnsi="Verdana"/>
          <w:sz w:val="20"/>
        </w:rPr>
        <w:t>Courses</w:t>
      </w:r>
      <w:r w:rsidRPr="00AE7D9C">
        <w:rPr>
          <w:rFonts w:ascii="Verdana" w:hAnsi="Verdana"/>
          <w:sz w:val="20"/>
        </w:rPr>
        <w:t xml:space="preserve"> taken during any summer session are NOT included in this calculation. A student enrolled at any Illinois public school on or before </w:t>
      </w:r>
      <w:r w:rsidR="0016010F">
        <w:rPr>
          <w:rFonts w:ascii="Verdana" w:hAnsi="Verdana"/>
          <w:sz w:val="20"/>
        </w:rPr>
        <w:t>Sept 30, 201</w:t>
      </w:r>
      <w:r w:rsidRPr="00AE7D9C">
        <w:rPr>
          <w:rFonts w:ascii="Verdana" w:hAnsi="Verdana"/>
          <w:sz w:val="20"/>
        </w:rPr>
        <w:t>4</w:t>
      </w:r>
      <w:r w:rsidR="0016010F">
        <w:rPr>
          <w:rFonts w:ascii="Verdana" w:hAnsi="Verdana"/>
          <w:sz w:val="20"/>
        </w:rPr>
        <w:t>,</w:t>
      </w:r>
      <w:r w:rsidRPr="00AE7D9C">
        <w:rPr>
          <w:rFonts w:ascii="Verdana" w:hAnsi="Verdana"/>
          <w:sz w:val="20"/>
        </w:rPr>
        <w:t xml:space="preserve"> and on or after </w:t>
      </w:r>
      <w:r w:rsidR="0016010F">
        <w:rPr>
          <w:rFonts w:ascii="Verdana" w:hAnsi="Verdana"/>
          <w:sz w:val="20"/>
        </w:rPr>
        <w:t xml:space="preserve">May 1, 2015, </w:t>
      </w:r>
      <w:r w:rsidRPr="00AE7D9C">
        <w:rPr>
          <w:rFonts w:ascii="Verdana" w:hAnsi="Verdana"/>
          <w:sz w:val="20"/>
        </w:rPr>
        <w:t xml:space="preserve">is assigned to the last district enrolled for the school year. </w:t>
      </w:r>
      <w:r w:rsidR="00FF7AE2" w:rsidRPr="00FF7AE2">
        <w:rPr>
          <w:rFonts w:ascii="Verdana" w:hAnsi="Verdana"/>
          <w:sz w:val="20"/>
        </w:rPr>
        <w:t xml:space="preserve">This metric, as required by </w:t>
      </w:r>
      <w:hyperlink r:id="rId12" w:history="1">
        <w:r w:rsidR="00FF7AE2" w:rsidRPr="00FF7AE2">
          <w:rPr>
            <w:rStyle w:val="Hyperlink"/>
            <w:rFonts w:ascii="Verdana" w:hAnsi="Verdana"/>
            <w:sz w:val="20"/>
          </w:rPr>
          <w:t>Public Act 097-0671</w:t>
        </w:r>
      </w:hyperlink>
      <w:r w:rsidR="00FF7AE2" w:rsidRPr="00FF7AE2">
        <w:rPr>
          <w:rFonts w:ascii="Verdana" w:hAnsi="Verdana"/>
          <w:sz w:val="20"/>
        </w:rPr>
        <w:t>, provides a more detailed look at students’ math comprehension before they enter high school.</w:t>
      </w:r>
    </w:p>
    <w:p w14:paraId="7B46BD41" w14:textId="77777777" w:rsidR="006A5108" w:rsidRDefault="006A5108" w:rsidP="004E6335">
      <w:pPr>
        <w:rPr>
          <w:rFonts w:ascii="Verdana" w:hAnsi="Verdana"/>
          <w:sz w:val="20"/>
        </w:rPr>
      </w:pPr>
    </w:p>
    <w:p w14:paraId="70244710" w14:textId="31881CF6" w:rsidR="00DF1186" w:rsidRDefault="00FF7AE2" w:rsidP="00551678">
      <w:pPr>
        <w:rPr>
          <w:rFonts w:ascii="Verdana" w:hAnsi="Verdana"/>
          <w:sz w:val="20"/>
        </w:rPr>
      </w:pPr>
      <w:r w:rsidRPr="00FF7AE2">
        <w:rPr>
          <w:rFonts w:ascii="Verdana" w:hAnsi="Verdana"/>
          <w:b/>
          <w:sz w:val="20"/>
        </w:rPr>
        <w:t>Enhanced Educator Data</w:t>
      </w:r>
      <w:r w:rsidRPr="00FF7AE2">
        <w:rPr>
          <w:rFonts w:ascii="Verdana" w:hAnsi="Verdana"/>
          <w:sz w:val="20"/>
        </w:rPr>
        <w:t xml:space="preserve">: This feature reflects data gathered from ISBE’s </w:t>
      </w:r>
      <w:hyperlink r:id="rId13" w:history="1">
        <w:r w:rsidRPr="00390E4C">
          <w:rPr>
            <w:rStyle w:val="Hyperlink"/>
            <w:rFonts w:ascii="Verdana" w:hAnsi="Verdana"/>
            <w:sz w:val="20"/>
          </w:rPr>
          <w:t>Employment Information System (EIS</w:t>
        </w:r>
      </w:hyperlink>
      <w:r w:rsidRPr="00FF7AE2">
        <w:rPr>
          <w:rFonts w:ascii="Verdana" w:hAnsi="Verdana"/>
          <w:sz w:val="20"/>
        </w:rPr>
        <w:t>). Several educator characteristics will be viewable on the Report Card</w:t>
      </w:r>
      <w:r w:rsidR="00AB482B">
        <w:rPr>
          <w:rFonts w:ascii="Verdana" w:hAnsi="Verdana"/>
          <w:sz w:val="20"/>
        </w:rPr>
        <w:t xml:space="preserve"> in new displays</w:t>
      </w:r>
      <w:r w:rsidRPr="00FF7AE2">
        <w:rPr>
          <w:rFonts w:ascii="Verdana" w:hAnsi="Verdana"/>
          <w:sz w:val="20"/>
        </w:rPr>
        <w:t xml:space="preserve">, including teacher demographics, teacher retention, pupil-teacher ratio, teacher education, teacher salary, principal turnover, pupil-administrator ratio, administrator salary, and pupil-certified staff ratio. </w:t>
      </w:r>
      <w:r w:rsidR="00BE124B" w:rsidRPr="00BE124B">
        <w:rPr>
          <w:rFonts w:ascii="Verdana" w:hAnsi="Verdana"/>
          <w:sz w:val="20"/>
        </w:rPr>
        <w:t xml:space="preserve">This is the first year the Report Card will offer </w:t>
      </w:r>
      <w:r w:rsidR="00BE124B">
        <w:rPr>
          <w:rFonts w:ascii="Verdana" w:hAnsi="Verdana"/>
          <w:sz w:val="20"/>
        </w:rPr>
        <w:t xml:space="preserve">completed educator data from the </w:t>
      </w:r>
      <w:r w:rsidR="00BE124B" w:rsidRPr="00BE124B">
        <w:rPr>
          <w:rFonts w:ascii="Verdana" w:hAnsi="Verdana"/>
          <w:sz w:val="20"/>
        </w:rPr>
        <w:t>2013 and 2014</w:t>
      </w:r>
      <w:r w:rsidR="00BE124B">
        <w:rPr>
          <w:rFonts w:ascii="Verdana" w:hAnsi="Verdana"/>
          <w:sz w:val="20"/>
        </w:rPr>
        <w:t xml:space="preserve"> school years. </w:t>
      </w:r>
      <w:r w:rsidRPr="00FF7AE2">
        <w:rPr>
          <w:rFonts w:ascii="Verdana" w:hAnsi="Verdana"/>
          <w:sz w:val="20"/>
        </w:rPr>
        <w:t>This metric was implemented in response to Section 10-17 a (2) (E) of the School Code (</w:t>
      </w:r>
      <w:hyperlink r:id="rId14" w:history="1">
        <w:r w:rsidRPr="00390E4C">
          <w:rPr>
            <w:rStyle w:val="Hyperlink"/>
            <w:rFonts w:ascii="Verdana" w:hAnsi="Verdana"/>
            <w:sz w:val="20"/>
          </w:rPr>
          <w:t>105 ILCS 5/10-17a</w:t>
        </w:r>
      </w:hyperlink>
      <w:r w:rsidRPr="00FF7AE2">
        <w:rPr>
          <w:rFonts w:ascii="Verdana" w:hAnsi="Verdana"/>
          <w:sz w:val="20"/>
        </w:rPr>
        <w:t>).</w:t>
      </w:r>
    </w:p>
    <w:p w14:paraId="448E8437" w14:textId="77777777" w:rsidR="00FF7AE2" w:rsidRDefault="00FF7AE2" w:rsidP="00551678">
      <w:pPr>
        <w:rPr>
          <w:rFonts w:ascii="Verdana" w:hAnsi="Verdana"/>
          <w:sz w:val="20"/>
        </w:rPr>
      </w:pPr>
    </w:p>
    <w:p w14:paraId="1BEF5993" w14:textId="71D0D56A" w:rsidR="00FF7AE2" w:rsidRDefault="00390E4C" w:rsidP="00FF7AE2">
      <w:pPr>
        <w:rPr>
          <w:rFonts w:ascii="Verdana" w:hAnsi="Verdana"/>
          <w:sz w:val="20"/>
        </w:rPr>
      </w:pPr>
      <w:r w:rsidRPr="00390E4C">
        <w:rPr>
          <w:rFonts w:ascii="Verdana" w:hAnsi="Verdana"/>
          <w:b/>
          <w:sz w:val="20"/>
        </w:rPr>
        <w:t>Health and Wellness Metric</w:t>
      </w:r>
      <w:r>
        <w:rPr>
          <w:rFonts w:ascii="Verdana" w:hAnsi="Verdana"/>
          <w:b/>
          <w:sz w:val="20"/>
        </w:rPr>
        <w:t xml:space="preserve"> (</w:t>
      </w:r>
      <w:r w:rsidRPr="00390E4C">
        <w:rPr>
          <w:rFonts w:ascii="Verdana" w:hAnsi="Verdana"/>
          <w:b/>
          <w:i/>
          <w:sz w:val="20"/>
        </w:rPr>
        <w:t>Coming Soon</w:t>
      </w:r>
      <w:r>
        <w:rPr>
          <w:rFonts w:ascii="Verdana" w:hAnsi="Verdana"/>
          <w:b/>
          <w:sz w:val="20"/>
        </w:rPr>
        <w:t>)</w:t>
      </w:r>
      <w:r>
        <w:rPr>
          <w:rFonts w:ascii="Verdana" w:hAnsi="Verdana"/>
          <w:sz w:val="20"/>
        </w:rPr>
        <w:t xml:space="preserve">: </w:t>
      </w:r>
      <w:r w:rsidRPr="00390E4C">
        <w:rPr>
          <w:rFonts w:ascii="Verdana" w:hAnsi="Verdana"/>
          <w:sz w:val="20"/>
        </w:rPr>
        <w:t xml:space="preserve">This metric, which will be updated on the Report Card site later this year, will report the average number of days that each student attends physical education class per week. The metric is in response to the </w:t>
      </w:r>
      <w:hyperlink r:id="rId15" w:history="1">
        <w:r w:rsidRPr="00390E4C">
          <w:rPr>
            <w:rStyle w:val="Hyperlink"/>
            <w:rFonts w:ascii="Verdana" w:hAnsi="Verdana"/>
            <w:sz w:val="20"/>
          </w:rPr>
          <w:t>Enhance Physical Education Task Force</w:t>
        </w:r>
      </w:hyperlink>
      <w:r w:rsidRPr="00390E4C">
        <w:rPr>
          <w:rFonts w:ascii="Verdana" w:hAnsi="Verdana"/>
          <w:sz w:val="20"/>
        </w:rPr>
        <w:t>, which recommends enhancing physical education to increase student wellness, and Section 10-17a (2) (B) of the School Code (</w:t>
      </w:r>
      <w:hyperlink r:id="rId16" w:history="1">
        <w:r w:rsidRPr="00865796">
          <w:rPr>
            <w:rStyle w:val="Hyperlink"/>
            <w:rFonts w:ascii="Verdana" w:hAnsi="Verdana"/>
            <w:sz w:val="20"/>
          </w:rPr>
          <w:t>105 ILCS 5/10-17a</w:t>
        </w:r>
      </w:hyperlink>
      <w:r w:rsidRPr="00390E4C">
        <w:rPr>
          <w:rFonts w:ascii="Verdana" w:hAnsi="Verdana"/>
          <w:sz w:val="20"/>
        </w:rPr>
        <w:t>).</w:t>
      </w:r>
    </w:p>
    <w:p w14:paraId="2A7314BD" w14:textId="77777777" w:rsidR="00FF7AE2" w:rsidRDefault="00FF7AE2" w:rsidP="00551678">
      <w:pPr>
        <w:rPr>
          <w:rFonts w:ascii="Verdana" w:hAnsi="Verdana"/>
          <w:sz w:val="20"/>
        </w:rPr>
      </w:pPr>
    </w:p>
    <w:p w14:paraId="3AC72BEC" w14:textId="77777777" w:rsidR="00DF1186" w:rsidRDefault="00DF1186" w:rsidP="00502F5B">
      <w:pPr>
        <w:rPr>
          <w:rFonts w:ascii="Verdana" w:hAnsi="Verdana"/>
          <w:b/>
          <w:sz w:val="20"/>
        </w:rPr>
      </w:pPr>
    </w:p>
    <w:p w14:paraId="73B973E1" w14:textId="45053D84" w:rsidR="004571D7" w:rsidRDefault="00D8597F" w:rsidP="00F66A61">
      <w:pPr>
        <w:jc w:val="center"/>
        <w:rPr>
          <w:rFonts w:ascii="Verdana" w:hAnsi="Verdana"/>
          <w:b/>
          <w:sz w:val="20"/>
        </w:rPr>
      </w:pPr>
      <w:r>
        <w:rPr>
          <w:rFonts w:ascii="Verdana" w:hAnsi="Verdana"/>
          <w:b/>
          <w:sz w:val="20"/>
        </w:rPr>
        <w:t xml:space="preserve">Returning </w:t>
      </w:r>
      <w:r w:rsidR="004571D7">
        <w:rPr>
          <w:rFonts w:ascii="Verdana" w:hAnsi="Verdana"/>
          <w:b/>
          <w:sz w:val="20"/>
        </w:rPr>
        <w:t xml:space="preserve">Metrics </w:t>
      </w:r>
      <w:r w:rsidR="004E6335">
        <w:rPr>
          <w:rFonts w:ascii="Verdana" w:hAnsi="Verdana"/>
          <w:b/>
          <w:sz w:val="20"/>
        </w:rPr>
        <w:t xml:space="preserve">and </w:t>
      </w:r>
      <w:r w:rsidR="00DF1186">
        <w:rPr>
          <w:rFonts w:ascii="Verdana" w:hAnsi="Verdana"/>
          <w:b/>
          <w:sz w:val="20"/>
        </w:rPr>
        <w:t xml:space="preserve">Improved </w:t>
      </w:r>
      <w:r w:rsidR="004E6335">
        <w:rPr>
          <w:rFonts w:ascii="Verdana" w:hAnsi="Verdana"/>
          <w:b/>
          <w:sz w:val="20"/>
        </w:rPr>
        <w:t xml:space="preserve">Features </w:t>
      </w:r>
    </w:p>
    <w:p w14:paraId="68536783" w14:textId="77777777" w:rsidR="00551678" w:rsidRDefault="00551678" w:rsidP="00F66A61">
      <w:pPr>
        <w:jc w:val="center"/>
        <w:rPr>
          <w:rFonts w:ascii="Verdana" w:hAnsi="Verdana"/>
          <w:b/>
          <w:sz w:val="20"/>
        </w:rPr>
      </w:pPr>
    </w:p>
    <w:p w14:paraId="65ED1DC5" w14:textId="155AB54C" w:rsidR="00551678" w:rsidRDefault="00551678" w:rsidP="00551678">
      <w:pPr>
        <w:rPr>
          <w:rFonts w:ascii="Verdana" w:hAnsi="Verdana"/>
          <w:sz w:val="20"/>
        </w:rPr>
      </w:pPr>
      <w:r w:rsidRPr="00DF1186">
        <w:rPr>
          <w:rFonts w:ascii="Verdana" w:hAnsi="Verdana"/>
          <w:b/>
          <w:sz w:val="20"/>
        </w:rPr>
        <w:t xml:space="preserve">Average </w:t>
      </w:r>
      <w:r>
        <w:rPr>
          <w:rFonts w:ascii="Verdana" w:hAnsi="Verdana"/>
          <w:b/>
          <w:sz w:val="20"/>
        </w:rPr>
        <w:t>C</w:t>
      </w:r>
      <w:r w:rsidRPr="00DF1186">
        <w:rPr>
          <w:rFonts w:ascii="Verdana" w:hAnsi="Verdana"/>
          <w:b/>
          <w:sz w:val="20"/>
        </w:rPr>
        <w:t xml:space="preserve">lass </w:t>
      </w:r>
      <w:r>
        <w:rPr>
          <w:rFonts w:ascii="Verdana" w:hAnsi="Verdana"/>
          <w:b/>
          <w:sz w:val="20"/>
        </w:rPr>
        <w:t>S</w:t>
      </w:r>
      <w:r w:rsidRPr="00DF1186">
        <w:rPr>
          <w:rFonts w:ascii="Verdana" w:hAnsi="Verdana"/>
          <w:b/>
          <w:sz w:val="20"/>
        </w:rPr>
        <w:t>ize</w:t>
      </w:r>
      <w:r>
        <w:rPr>
          <w:rFonts w:ascii="Verdana" w:hAnsi="Verdana"/>
          <w:b/>
          <w:sz w:val="20"/>
        </w:rPr>
        <w:t xml:space="preserve">: </w:t>
      </w:r>
      <w:r>
        <w:rPr>
          <w:rFonts w:ascii="Verdana" w:hAnsi="Verdana"/>
          <w:sz w:val="20"/>
        </w:rPr>
        <w:t>This feature</w:t>
      </w:r>
      <w:r w:rsidRPr="00DF1186">
        <w:rPr>
          <w:rFonts w:ascii="Verdana" w:hAnsi="Verdana"/>
          <w:sz w:val="20"/>
        </w:rPr>
        <w:t xml:space="preserve"> is now available with corresponding</w:t>
      </w:r>
      <w:r w:rsidR="00390E4C">
        <w:rPr>
          <w:rFonts w:ascii="Verdana" w:hAnsi="Verdana"/>
          <w:sz w:val="20"/>
        </w:rPr>
        <w:t xml:space="preserve"> charts and district- and state</w:t>
      </w:r>
      <w:r w:rsidRPr="00DF1186">
        <w:rPr>
          <w:rFonts w:ascii="Verdana" w:hAnsi="Verdana"/>
          <w:sz w:val="20"/>
        </w:rPr>
        <w:t xml:space="preserve">wide comparisons. </w:t>
      </w:r>
    </w:p>
    <w:p w14:paraId="549C0926" w14:textId="77777777" w:rsidR="00551678" w:rsidRDefault="00551678" w:rsidP="00551678">
      <w:pPr>
        <w:rPr>
          <w:rFonts w:ascii="Verdana" w:hAnsi="Verdana"/>
          <w:sz w:val="20"/>
        </w:rPr>
      </w:pPr>
    </w:p>
    <w:p w14:paraId="59C6EE3E" w14:textId="76C32895" w:rsidR="00551678" w:rsidRDefault="00551678" w:rsidP="00551678">
      <w:pPr>
        <w:rPr>
          <w:rFonts w:ascii="Verdana" w:hAnsi="Verdana"/>
          <w:sz w:val="20"/>
        </w:rPr>
      </w:pPr>
      <w:r w:rsidRPr="00DF1186">
        <w:rPr>
          <w:rFonts w:ascii="Verdana" w:hAnsi="Verdana"/>
          <w:b/>
          <w:sz w:val="20"/>
        </w:rPr>
        <w:t xml:space="preserve">Graduation </w:t>
      </w:r>
      <w:r w:rsidR="00544A11">
        <w:rPr>
          <w:rFonts w:ascii="Verdana" w:hAnsi="Verdana"/>
          <w:b/>
          <w:sz w:val="20"/>
        </w:rPr>
        <w:t>R</w:t>
      </w:r>
      <w:r w:rsidRPr="00DF1186">
        <w:rPr>
          <w:rFonts w:ascii="Verdana" w:hAnsi="Verdana"/>
          <w:b/>
          <w:sz w:val="20"/>
        </w:rPr>
        <w:t xml:space="preserve">ates by </w:t>
      </w:r>
      <w:r w:rsidR="007F09A2">
        <w:rPr>
          <w:rFonts w:ascii="Verdana" w:hAnsi="Verdana"/>
          <w:b/>
          <w:sz w:val="20"/>
        </w:rPr>
        <w:t>S</w:t>
      </w:r>
      <w:r w:rsidRPr="00DF1186">
        <w:rPr>
          <w:rFonts w:ascii="Verdana" w:hAnsi="Verdana"/>
          <w:b/>
          <w:sz w:val="20"/>
        </w:rPr>
        <w:t xml:space="preserve">ub-group </w:t>
      </w:r>
      <w:r w:rsidR="007F09A2">
        <w:rPr>
          <w:rFonts w:ascii="Verdana" w:hAnsi="Verdana"/>
          <w:b/>
          <w:sz w:val="20"/>
        </w:rPr>
        <w:t>G</w:t>
      </w:r>
      <w:r w:rsidRPr="00DF1186">
        <w:rPr>
          <w:rFonts w:ascii="Verdana" w:hAnsi="Verdana"/>
          <w:b/>
          <w:sz w:val="20"/>
        </w:rPr>
        <w:t>raphs</w:t>
      </w:r>
      <w:r>
        <w:rPr>
          <w:rFonts w:ascii="Verdana" w:hAnsi="Verdana"/>
          <w:b/>
          <w:sz w:val="20"/>
        </w:rPr>
        <w:t>:</w:t>
      </w:r>
      <w:r>
        <w:rPr>
          <w:rFonts w:ascii="Verdana" w:hAnsi="Verdana"/>
          <w:sz w:val="20"/>
        </w:rPr>
        <w:t xml:space="preserve"> These graphs are available so schools and districts can improve understanding of graduation rates </w:t>
      </w:r>
      <w:r w:rsidR="007F09A2">
        <w:rPr>
          <w:rFonts w:ascii="Verdana" w:hAnsi="Verdana"/>
          <w:sz w:val="20"/>
        </w:rPr>
        <w:t>for specific student groups.</w:t>
      </w:r>
      <w:r w:rsidR="001F6C24">
        <w:rPr>
          <w:rFonts w:ascii="Verdana" w:hAnsi="Verdana"/>
          <w:sz w:val="20"/>
        </w:rPr>
        <w:t xml:space="preserve"> They also display the percentage of students who graduated within four or five years.</w:t>
      </w:r>
      <w:r>
        <w:rPr>
          <w:rFonts w:ascii="Verdana" w:hAnsi="Verdana"/>
          <w:sz w:val="20"/>
        </w:rPr>
        <w:t xml:space="preserve"> </w:t>
      </w:r>
    </w:p>
    <w:p w14:paraId="05ECC0FF" w14:textId="77777777" w:rsidR="00DF1186" w:rsidRDefault="00DF1186" w:rsidP="00F66A61">
      <w:pPr>
        <w:jc w:val="center"/>
        <w:rPr>
          <w:rFonts w:ascii="Verdana" w:hAnsi="Verdana"/>
          <w:b/>
          <w:sz w:val="20"/>
        </w:rPr>
      </w:pPr>
    </w:p>
    <w:p w14:paraId="7515BDE7" w14:textId="4462DFA8" w:rsidR="00DF1186" w:rsidRDefault="00DF1186" w:rsidP="00DF1186">
      <w:pPr>
        <w:rPr>
          <w:rFonts w:ascii="Verdana" w:hAnsi="Verdana"/>
          <w:sz w:val="20"/>
        </w:rPr>
      </w:pPr>
      <w:r>
        <w:rPr>
          <w:rFonts w:ascii="Verdana" w:hAnsi="Verdana"/>
          <w:b/>
          <w:sz w:val="20"/>
        </w:rPr>
        <w:t xml:space="preserve">Enhanced </w:t>
      </w:r>
      <w:r w:rsidR="003634C4">
        <w:rPr>
          <w:rFonts w:ascii="Verdana" w:hAnsi="Verdana"/>
          <w:b/>
          <w:sz w:val="20"/>
        </w:rPr>
        <w:t>S</w:t>
      </w:r>
      <w:r>
        <w:rPr>
          <w:rFonts w:ascii="Verdana" w:hAnsi="Verdana"/>
          <w:b/>
          <w:sz w:val="20"/>
        </w:rPr>
        <w:t xml:space="preserve">earch </w:t>
      </w:r>
      <w:r w:rsidR="003634C4">
        <w:rPr>
          <w:rFonts w:ascii="Verdana" w:hAnsi="Verdana"/>
          <w:b/>
          <w:sz w:val="20"/>
        </w:rPr>
        <w:t>A</w:t>
      </w:r>
      <w:r>
        <w:rPr>
          <w:rFonts w:ascii="Verdana" w:hAnsi="Verdana"/>
          <w:b/>
          <w:sz w:val="20"/>
        </w:rPr>
        <w:t xml:space="preserve">lgorithm: </w:t>
      </w:r>
      <w:r>
        <w:rPr>
          <w:rFonts w:ascii="Verdana" w:hAnsi="Verdana"/>
          <w:sz w:val="20"/>
        </w:rPr>
        <w:t>Users can perform comprehensive, high-level searches with ease and efficiency.</w:t>
      </w:r>
    </w:p>
    <w:p w14:paraId="07CE8038" w14:textId="77777777" w:rsidR="00DF1186" w:rsidRDefault="00DF1186" w:rsidP="00DF1186">
      <w:pPr>
        <w:rPr>
          <w:rFonts w:ascii="Verdana" w:hAnsi="Verdana"/>
          <w:sz w:val="20"/>
        </w:rPr>
      </w:pPr>
    </w:p>
    <w:p w14:paraId="2B12ABBE" w14:textId="2DED0446" w:rsidR="00DF1186" w:rsidRDefault="00DF1186" w:rsidP="00DF1186">
      <w:pPr>
        <w:rPr>
          <w:rFonts w:ascii="Verdana" w:hAnsi="Verdana"/>
          <w:sz w:val="20"/>
        </w:rPr>
      </w:pPr>
      <w:r>
        <w:rPr>
          <w:rFonts w:ascii="Verdana" w:hAnsi="Verdana"/>
          <w:b/>
          <w:sz w:val="20"/>
        </w:rPr>
        <w:t xml:space="preserve">Redesigned </w:t>
      </w:r>
      <w:r w:rsidR="003634C4">
        <w:rPr>
          <w:rFonts w:ascii="Verdana" w:hAnsi="Verdana"/>
          <w:b/>
          <w:sz w:val="20"/>
        </w:rPr>
        <w:t>S</w:t>
      </w:r>
      <w:r>
        <w:rPr>
          <w:rFonts w:ascii="Verdana" w:hAnsi="Verdana"/>
          <w:b/>
          <w:sz w:val="20"/>
        </w:rPr>
        <w:t xml:space="preserve">creens: </w:t>
      </w:r>
      <w:r>
        <w:rPr>
          <w:rFonts w:ascii="Verdana" w:hAnsi="Verdana"/>
          <w:sz w:val="20"/>
        </w:rPr>
        <w:t>Various screens in the site have been redesigned to better display student growth trend data.</w:t>
      </w:r>
    </w:p>
    <w:p w14:paraId="212CB12D" w14:textId="77777777" w:rsidR="00DF1186" w:rsidRDefault="00DF1186" w:rsidP="00DF1186">
      <w:pPr>
        <w:rPr>
          <w:rFonts w:ascii="Verdana" w:hAnsi="Verdana"/>
          <w:sz w:val="20"/>
        </w:rPr>
      </w:pPr>
    </w:p>
    <w:p w14:paraId="71D427A3" w14:textId="385AA70A" w:rsidR="00DF1186" w:rsidRDefault="00DF1186" w:rsidP="00DF1186">
      <w:pPr>
        <w:rPr>
          <w:rFonts w:ascii="Verdana" w:hAnsi="Verdana"/>
          <w:sz w:val="20"/>
        </w:rPr>
      </w:pPr>
      <w:r>
        <w:rPr>
          <w:rFonts w:ascii="Verdana" w:hAnsi="Verdana"/>
          <w:b/>
          <w:sz w:val="20"/>
        </w:rPr>
        <w:t xml:space="preserve">Spanish </w:t>
      </w:r>
      <w:r w:rsidR="003634C4">
        <w:rPr>
          <w:rFonts w:ascii="Verdana" w:hAnsi="Verdana"/>
          <w:b/>
          <w:sz w:val="20"/>
        </w:rPr>
        <w:t>C</w:t>
      </w:r>
      <w:r>
        <w:rPr>
          <w:rFonts w:ascii="Verdana" w:hAnsi="Verdana"/>
          <w:b/>
          <w:sz w:val="20"/>
        </w:rPr>
        <w:t xml:space="preserve">apabilities: </w:t>
      </w:r>
      <w:r>
        <w:rPr>
          <w:rFonts w:ascii="Verdana" w:hAnsi="Verdana"/>
          <w:sz w:val="20"/>
        </w:rPr>
        <w:t xml:space="preserve">Spanish language translation capabilities have been </w:t>
      </w:r>
      <w:r w:rsidR="007F09A2">
        <w:rPr>
          <w:rFonts w:ascii="Verdana" w:hAnsi="Verdana"/>
          <w:sz w:val="20"/>
        </w:rPr>
        <w:t>enhanced</w:t>
      </w:r>
      <w:r>
        <w:rPr>
          <w:rFonts w:ascii="Verdana" w:hAnsi="Verdana"/>
          <w:sz w:val="20"/>
        </w:rPr>
        <w:t>.</w:t>
      </w:r>
    </w:p>
    <w:p w14:paraId="1D4E9F39" w14:textId="77777777" w:rsidR="00DF1186" w:rsidRDefault="00DF1186" w:rsidP="00DF1186">
      <w:pPr>
        <w:rPr>
          <w:rFonts w:ascii="Verdana" w:hAnsi="Verdana"/>
          <w:sz w:val="20"/>
        </w:rPr>
      </w:pPr>
    </w:p>
    <w:p w14:paraId="6C3F1CE7" w14:textId="26839389" w:rsidR="00DF1186" w:rsidRPr="00DF1186" w:rsidRDefault="00DF1186" w:rsidP="00DF1186">
      <w:pPr>
        <w:rPr>
          <w:rFonts w:ascii="Verdana" w:hAnsi="Verdana"/>
          <w:sz w:val="20"/>
        </w:rPr>
      </w:pPr>
      <w:r>
        <w:rPr>
          <w:rFonts w:ascii="Verdana" w:hAnsi="Verdana"/>
          <w:b/>
          <w:sz w:val="20"/>
        </w:rPr>
        <w:t xml:space="preserve">New Tab Structure: </w:t>
      </w:r>
      <w:r>
        <w:rPr>
          <w:rFonts w:ascii="Verdana" w:hAnsi="Verdana"/>
          <w:sz w:val="20"/>
        </w:rPr>
        <w:t>A new tab structure has been implemented to aid in intuitive navigation.</w:t>
      </w:r>
    </w:p>
    <w:p w14:paraId="5A5C3156" w14:textId="77777777" w:rsidR="00F66A61" w:rsidRPr="00B9334F" w:rsidRDefault="00F66A61" w:rsidP="00F66A61">
      <w:pPr>
        <w:rPr>
          <w:rFonts w:ascii="Verdana" w:hAnsi="Verdana"/>
          <w:sz w:val="20"/>
        </w:rPr>
      </w:pPr>
    </w:p>
    <w:p w14:paraId="1DDDA761" w14:textId="761ABD51" w:rsidR="00F66A61" w:rsidRDefault="00D42091" w:rsidP="00F66A61">
      <w:pPr>
        <w:rPr>
          <w:rFonts w:ascii="Verdana" w:hAnsi="Verdana"/>
          <w:sz w:val="20"/>
        </w:rPr>
      </w:pPr>
      <w:r>
        <w:rPr>
          <w:rFonts w:ascii="Verdana" w:hAnsi="Verdana"/>
          <w:b/>
          <w:sz w:val="20"/>
        </w:rPr>
        <w:t>Postsecondary</w:t>
      </w:r>
      <w:r w:rsidR="00F66A61" w:rsidRPr="00B9334F">
        <w:rPr>
          <w:rFonts w:ascii="Verdana" w:hAnsi="Verdana"/>
          <w:b/>
          <w:sz w:val="20"/>
        </w:rPr>
        <w:t xml:space="preserve"> Enrollment</w:t>
      </w:r>
      <w:r w:rsidR="00F66A61">
        <w:rPr>
          <w:rFonts w:ascii="Verdana" w:hAnsi="Verdana"/>
          <w:sz w:val="20"/>
        </w:rPr>
        <w:t xml:space="preserve">: </w:t>
      </w:r>
      <w:r w:rsidR="007F09A2">
        <w:rPr>
          <w:rFonts w:ascii="Verdana" w:hAnsi="Verdana"/>
          <w:sz w:val="20"/>
        </w:rPr>
        <w:t>This feature includes</w:t>
      </w:r>
      <w:r w:rsidR="00F66A61" w:rsidRPr="00B9334F">
        <w:rPr>
          <w:rFonts w:ascii="Verdana" w:hAnsi="Verdana"/>
          <w:sz w:val="20"/>
        </w:rPr>
        <w:t xml:space="preserve"> 12-month and 16-month enrollment statistics </w:t>
      </w:r>
      <w:r w:rsidR="00F66A61">
        <w:rPr>
          <w:rFonts w:ascii="Verdana" w:hAnsi="Verdana"/>
          <w:sz w:val="20"/>
        </w:rPr>
        <w:t xml:space="preserve">of former Illinois high school students </w:t>
      </w:r>
      <w:r w:rsidR="00F66A61" w:rsidRPr="00B9334F">
        <w:rPr>
          <w:rFonts w:ascii="Verdana" w:hAnsi="Verdana"/>
          <w:sz w:val="20"/>
        </w:rPr>
        <w:t xml:space="preserve">in </w:t>
      </w:r>
      <w:r w:rsidR="00F66A61">
        <w:rPr>
          <w:rFonts w:ascii="Verdana" w:hAnsi="Verdana"/>
          <w:sz w:val="20"/>
        </w:rPr>
        <w:t>two</w:t>
      </w:r>
      <w:r w:rsidR="00F66A61" w:rsidRPr="00B9334F">
        <w:rPr>
          <w:rFonts w:ascii="Verdana" w:hAnsi="Verdana"/>
          <w:sz w:val="20"/>
        </w:rPr>
        <w:t xml:space="preserve">-year and </w:t>
      </w:r>
      <w:r w:rsidR="00F66A61">
        <w:rPr>
          <w:rFonts w:ascii="Verdana" w:hAnsi="Verdana"/>
          <w:sz w:val="20"/>
        </w:rPr>
        <w:t>four</w:t>
      </w:r>
      <w:r w:rsidR="00F66A61" w:rsidRPr="00B9334F">
        <w:rPr>
          <w:rFonts w:ascii="Verdana" w:hAnsi="Verdana"/>
          <w:sz w:val="20"/>
        </w:rPr>
        <w:t>-year colleges</w:t>
      </w:r>
      <w:r w:rsidR="00F66A61">
        <w:rPr>
          <w:rFonts w:ascii="Verdana" w:hAnsi="Verdana"/>
          <w:sz w:val="20"/>
        </w:rPr>
        <w:t>.</w:t>
      </w:r>
      <w:r w:rsidR="00F66A61" w:rsidRPr="00B9334F">
        <w:rPr>
          <w:rFonts w:ascii="Verdana" w:hAnsi="Verdana"/>
          <w:sz w:val="20"/>
        </w:rPr>
        <w:t xml:space="preserve"> </w:t>
      </w:r>
    </w:p>
    <w:p w14:paraId="5B6B06BC" w14:textId="77777777" w:rsidR="00F66A61" w:rsidRPr="00B9334F" w:rsidRDefault="00F66A61" w:rsidP="00F66A61">
      <w:pPr>
        <w:rPr>
          <w:rFonts w:ascii="Verdana" w:hAnsi="Verdana"/>
          <w:sz w:val="20"/>
        </w:rPr>
      </w:pPr>
    </w:p>
    <w:p w14:paraId="33EE339D" w14:textId="6B95F0C4" w:rsidR="00F66A61" w:rsidRDefault="00F66A61" w:rsidP="00F66A61">
      <w:pPr>
        <w:rPr>
          <w:rFonts w:ascii="Verdana" w:hAnsi="Verdana"/>
          <w:sz w:val="20"/>
        </w:rPr>
      </w:pPr>
      <w:r w:rsidRPr="00B9334F">
        <w:rPr>
          <w:rFonts w:ascii="Verdana" w:hAnsi="Verdana"/>
          <w:b/>
          <w:sz w:val="20"/>
        </w:rPr>
        <w:t>Freshmen on Track</w:t>
      </w:r>
      <w:r w:rsidRPr="00B9334F">
        <w:rPr>
          <w:rFonts w:ascii="Verdana" w:hAnsi="Verdana"/>
          <w:sz w:val="20"/>
        </w:rPr>
        <w:t xml:space="preserve">: </w:t>
      </w:r>
      <w:r w:rsidR="007F09A2">
        <w:rPr>
          <w:rFonts w:ascii="Verdana" w:hAnsi="Verdana"/>
          <w:sz w:val="20"/>
        </w:rPr>
        <w:t>This metric r</w:t>
      </w:r>
      <w:r w:rsidRPr="00B9334F">
        <w:rPr>
          <w:rFonts w:ascii="Verdana" w:hAnsi="Verdana"/>
          <w:sz w:val="20"/>
        </w:rPr>
        <w:t>eports the percentage of students who finish freshman year on track, which means that they have earned at least five full-year course credits (10 semester credits) and have earned no more than one semester F in a core</w:t>
      </w:r>
      <w:r>
        <w:rPr>
          <w:rFonts w:ascii="Verdana" w:hAnsi="Verdana"/>
          <w:sz w:val="20"/>
        </w:rPr>
        <w:t xml:space="preserve"> course (English, math, science</w:t>
      </w:r>
      <w:r w:rsidR="007F09A2">
        <w:rPr>
          <w:rFonts w:ascii="Verdana" w:hAnsi="Verdana"/>
          <w:sz w:val="20"/>
        </w:rPr>
        <w:t>,</w:t>
      </w:r>
      <w:r w:rsidRPr="00B9334F">
        <w:rPr>
          <w:rFonts w:ascii="Verdana" w:hAnsi="Verdana"/>
          <w:sz w:val="20"/>
        </w:rPr>
        <w:t xml:space="preserve"> or social science.) A student </w:t>
      </w:r>
      <w:r>
        <w:rPr>
          <w:rFonts w:ascii="Verdana" w:hAnsi="Verdana"/>
          <w:sz w:val="20"/>
        </w:rPr>
        <w:t>who</w:t>
      </w:r>
      <w:r w:rsidRPr="00B9334F">
        <w:rPr>
          <w:rFonts w:ascii="Verdana" w:hAnsi="Verdana"/>
          <w:sz w:val="20"/>
        </w:rPr>
        <w:t xml:space="preserve"> is on track at the end of his or her freshman year is almost four times as likely to graduate from high school as a student who is not on track.</w:t>
      </w:r>
    </w:p>
    <w:p w14:paraId="6820CE4A" w14:textId="77777777" w:rsidR="00D8597F" w:rsidRDefault="00D8597F" w:rsidP="00F66A61">
      <w:pPr>
        <w:rPr>
          <w:rFonts w:ascii="Verdana" w:hAnsi="Verdana"/>
          <w:sz w:val="20"/>
        </w:rPr>
      </w:pPr>
    </w:p>
    <w:p w14:paraId="4D96EC69" w14:textId="250E03DF" w:rsidR="00D8597F" w:rsidRDefault="00D8597F" w:rsidP="00F66A61">
      <w:pPr>
        <w:rPr>
          <w:rFonts w:ascii="Verdana" w:hAnsi="Verdana"/>
          <w:sz w:val="20"/>
        </w:rPr>
      </w:pPr>
      <w:r w:rsidRPr="00E86BD6">
        <w:rPr>
          <w:rFonts w:ascii="Verdana" w:hAnsi="Verdana"/>
          <w:b/>
          <w:sz w:val="20"/>
        </w:rPr>
        <w:t>Enrollment</w:t>
      </w:r>
      <w:r>
        <w:rPr>
          <w:rFonts w:ascii="Verdana" w:hAnsi="Verdana"/>
          <w:sz w:val="20"/>
        </w:rPr>
        <w:t xml:space="preserve">: </w:t>
      </w:r>
      <w:r w:rsidR="007F09A2">
        <w:rPr>
          <w:rFonts w:ascii="Verdana" w:hAnsi="Verdana"/>
          <w:sz w:val="20"/>
        </w:rPr>
        <w:t>This shows the</w:t>
      </w:r>
      <w:r>
        <w:rPr>
          <w:rFonts w:ascii="Verdana" w:hAnsi="Verdana"/>
          <w:sz w:val="20"/>
        </w:rPr>
        <w:t xml:space="preserve"> number of students enrolled in the school. </w:t>
      </w:r>
    </w:p>
    <w:p w14:paraId="31F857D4" w14:textId="77777777" w:rsidR="00D8597F" w:rsidRDefault="00D8597F" w:rsidP="00F66A61">
      <w:pPr>
        <w:rPr>
          <w:rFonts w:ascii="Verdana" w:hAnsi="Verdana"/>
          <w:sz w:val="20"/>
        </w:rPr>
      </w:pPr>
    </w:p>
    <w:p w14:paraId="37EE55E7" w14:textId="1A78DA60" w:rsidR="00D8597F" w:rsidRDefault="00E86BD6" w:rsidP="00F66A61">
      <w:pPr>
        <w:rPr>
          <w:rFonts w:ascii="Verdana" w:hAnsi="Verdana"/>
          <w:sz w:val="20"/>
        </w:rPr>
      </w:pPr>
      <w:r w:rsidRPr="00E86BD6">
        <w:rPr>
          <w:rFonts w:ascii="Verdana" w:hAnsi="Verdana"/>
          <w:b/>
          <w:sz w:val="20"/>
        </w:rPr>
        <w:t>Students with D</w:t>
      </w:r>
      <w:r w:rsidR="00D8597F" w:rsidRPr="00E86BD6">
        <w:rPr>
          <w:rFonts w:ascii="Verdana" w:hAnsi="Verdana"/>
          <w:b/>
          <w:sz w:val="20"/>
        </w:rPr>
        <w:t>isabilities</w:t>
      </w:r>
      <w:r w:rsidR="00D8597F">
        <w:rPr>
          <w:rFonts w:ascii="Verdana" w:hAnsi="Verdana"/>
          <w:sz w:val="20"/>
        </w:rPr>
        <w:t xml:space="preserve">: </w:t>
      </w:r>
      <w:r w:rsidR="007F09A2">
        <w:rPr>
          <w:rFonts w:ascii="Verdana" w:hAnsi="Verdana"/>
          <w:sz w:val="20"/>
        </w:rPr>
        <w:t xml:space="preserve">This shows the percentage </w:t>
      </w:r>
      <w:r w:rsidR="00D8597F">
        <w:rPr>
          <w:rFonts w:ascii="Verdana" w:hAnsi="Verdana"/>
          <w:sz w:val="20"/>
        </w:rPr>
        <w:t>of students who receive special education services</w:t>
      </w:r>
      <w:r w:rsidR="007F09A2">
        <w:rPr>
          <w:rFonts w:ascii="Verdana" w:hAnsi="Verdana"/>
          <w:sz w:val="20"/>
        </w:rPr>
        <w:t>.</w:t>
      </w:r>
    </w:p>
    <w:p w14:paraId="4D625B14" w14:textId="77777777" w:rsidR="00D8597F" w:rsidRDefault="00D8597F" w:rsidP="00F66A61">
      <w:pPr>
        <w:rPr>
          <w:rFonts w:ascii="Verdana" w:hAnsi="Verdana"/>
          <w:sz w:val="20"/>
        </w:rPr>
      </w:pPr>
    </w:p>
    <w:p w14:paraId="543ED54B" w14:textId="2AB72012" w:rsidR="00F66A61" w:rsidRDefault="00E86BD6" w:rsidP="00F66A61">
      <w:pPr>
        <w:rPr>
          <w:rFonts w:ascii="Verdana" w:hAnsi="Verdana"/>
          <w:sz w:val="20"/>
        </w:rPr>
      </w:pPr>
      <w:r w:rsidRPr="00E86BD6">
        <w:rPr>
          <w:rFonts w:ascii="Verdana" w:hAnsi="Verdana"/>
          <w:b/>
          <w:sz w:val="20"/>
        </w:rPr>
        <w:t>Student M</w:t>
      </w:r>
      <w:r w:rsidR="00D8597F" w:rsidRPr="00E86BD6">
        <w:rPr>
          <w:rFonts w:ascii="Verdana" w:hAnsi="Verdana"/>
          <w:b/>
          <w:sz w:val="20"/>
        </w:rPr>
        <w:t>obility</w:t>
      </w:r>
      <w:r w:rsidR="00D8597F">
        <w:rPr>
          <w:rFonts w:ascii="Verdana" w:hAnsi="Verdana"/>
          <w:sz w:val="20"/>
        </w:rPr>
        <w:t xml:space="preserve">: </w:t>
      </w:r>
      <w:r w:rsidR="007F09A2">
        <w:rPr>
          <w:rFonts w:ascii="Verdana" w:hAnsi="Verdana"/>
          <w:sz w:val="20"/>
        </w:rPr>
        <w:t>This features the p</w:t>
      </w:r>
      <w:r w:rsidR="00D8597F">
        <w:rPr>
          <w:rFonts w:ascii="Verdana" w:hAnsi="Verdana"/>
          <w:sz w:val="20"/>
        </w:rPr>
        <w:t xml:space="preserve">ercentage of students who transfer in or out of the school between the first school day of October and the last school day of the year, not including graduates. </w:t>
      </w:r>
    </w:p>
    <w:p w14:paraId="2705EB39" w14:textId="77777777" w:rsidR="001F3BD5" w:rsidRDefault="001F3BD5" w:rsidP="00F66A61">
      <w:pPr>
        <w:rPr>
          <w:rFonts w:ascii="Verdana" w:hAnsi="Verdana"/>
          <w:sz w:val="20"/>
        </w:rPr>
      </w:pPr>
    </w:p>
    <w:p w14:paraId="291DC439" w14:textId="56794A61" w:rsidR="001F3BD5" w:rsidRDefault="001F3BD5" w:rsidP="00F66A61">
      <w:pPr>
        <w:rPr>
          <w:rFonts w:ascii="Verdana" w:hAnsi="Verdana"/>
          <w:sz w:val="20"/>
        </w:rPr>
      </w:pPr>
      <w:r w:rsidRPr="00E86BD6">
        <w:rPr>
          <w:rFonts w:ascii="Verdana" w:hAnsi="Verdana"/>
          <w:b/>
          <w:sz w:val="20"/>
        </w:rPr>
        <w:t xml:space="preserve">Dropout </w:t>
      </w:r>
      <w:r w:rsidR="00E86BD6" w:rsidRPr="00E86BD6">
        <w:rPr>
          <w:rFonts w:ascii="Verdana" w:hAnsi="Verdana"/>
          <w:b/>
          <w:sz w:val="20"/>
        </w:rPr>
        <w:t>R</w:t>
      </w:r>
      <w:r w:rsidRPr="00E86BD6">
        <w:rPr>
          <w:rFonts w:ascii="Verdana" w:hAnsi="Verdana"/>
          <w:b/>
          <w:sz w:val="20"/>
        </w:rPr>
        <w:t>ate</w:t>
      </w:r>
      <w:r>
        <w:rPr>
          <w:rFonts w:ascii="Verdana" w:hAnsi="Verdana"/>
          <w:sz w:val="20"/>
        </w:rPr>
        <w:t xml:space="preserve">: </w:t>
      </w:r>
      <w:r w:rsidR="007F09A2">
        <w:rPr>
          <w:rFonts w:ascii="Verdana" w:hAnsi="Verdana"/>
          <w:sz w:val="20"/>
        </w:rPr>
        <w:t>This is the</w:t>
      </w:r>
      <w:r>
        <w:rPr>
          <w:rFonts w:ascii="Verdana" w:hAnsi="Verdana"/>
          <w:sz w:val="20"/>
        </w:rPr>
        <w:t xml:space="preserve"> percentage of students who are removed from the local enrollment roster </w:t>
      </w:r>
      <w:r w:rsidR="00E86BD6">
        <w:rPr>
          <w:rFonts w:ascii="Verdana" w:hAnsi="Verdana"/>
          <w:sz w:val="20"/>
        </w:rPr>
        <w:t>b</w:t>
      </w:r>
      <w:r>
        <w:rPr>
          <w:rFonts w:ascii="Verdana" w:hAnsi="Verdana"/>
          <w:sz w:val="20"/>
        </w:rPr>
        <w:t xml:space="preserve">efore the end of a school term. </w:t>
      </w:r>
    </w:p>
    <w:p w14:paraId="280A1A58" w14:textId="77777777" w:rsidR="001F3BD5" w:rsidRDefault="001F3BD5" w:rsidP="00F66A61">
      <w:pPr>
        <w:rPr>
          <w:rFonts w:ascii="Verdana" w:hAnsi="Verdana"/>
          <w:sz w:val="20"/>
        </w:rPr>
      </w:pPr>
    </w:p>
    <w:p w14:paraId="26A170CC" w14:textId="2FD630CC" w:rsidR="001F3BD5" w:rsidRDefault="00E86BD6" w:rsidP="00F66A61">
      <w:pPr>
        <w:rPr>
          <w:rFonts w:ascii="Verdana" w:hAnsi="Verdana"/>
          <w:sz w:val="20"/>
        </w:rPr>
      </w:pPr>
      <w:r w:rsidRPr="00E86BD6">
        <w:rPr>
          <w:rFonts w:ascii="Verdana" w:hAnsi="Verdana"/>
          <w:b/>
          <w:sz w:val="20"/>
        </w:rPr>
        <w:t>Racial/Ethnic D</w:t>
      </w:r>
      <w:r w:rsidR="001F3BD5" w:rsidRPr="00E86BD6">
        <w:rPr>
          <w:rFonts w:ascii="Verdana" w:hAnsi="Verdana"/>
          <w:b/>
          <w:sz w:val="20"/>
        </w:rPr>
        <w:t>iversity</w:t>
      </w:r>
      <w:r w:rsidR="001F3BD5">
        <w:rPr>
          <w:rFonts w:ascii="Verdana" w:hAnsi="Verdana"/>
          <w:sz w:val="20"/>
        </w:rPr>
        <w:t xml:space="preserve">: </w:t>
      </w:r>
      <w:r w:rsidR="007F09A2">
        <w:rPr>
          <w:rFonts w:ascii="Verdana" w:hAnsi="Verdana"/>
          <w:sz w:val="20"/>
        </w:rPr>
        <w:t>This metric is the</w:t>
      </w:r>
      <w:r w:rsidR="001F3BD5">
        <w:rPr>
          <w:rFonts w:ascii="Verdana" w:hAnsi="Verdana"/>
          <w:sz w:val="20"/>
        </w:rPr>
        <w:t xml:space="preserve"> percentage of students belonging to a particular racial/ethnic group. </w:t>
      </w:r>
    </w:p>
    <w:p w14:paraId="1A70F8E2" w14:textId="77777777" w:rsidR="001F3BD5" w:rsidRDefault="001F3BD5" w:rsidP="00F66A61">
      <w:pPr>
        <w:rPr>
          <w:rFonts w:ascii="Verdana" w:hAnsi="Verdana"/>
          <w:sz w:val="20"/>
        </w:rPr>
      </w:pPr>
    </w:p>
    <w:p w14:paraId="71E533FD" w14:textId="492D903C" w:rsidR="001F3BD5" w:rsidRDefault="00E86BD6" w:rsidP="00F66A61">
      <w:pPr>
        <w:rPr>
          <w:rFonts w:ascii="Verdana" w:hAnsi="Verdana"/>
          <w:sz w:val="20"/>
        </w:rPr>
      </w:pPr>
      <w:r>
        <w:rPr>
          <w:rFonts w:ascii="Verdana" w:hAnsi="Verdana"/>
          <w:b/>
          <w:sz w:val="20"/>
        </w:rPr>
        <w:t>Low-income S</w:t>
      </w:r>
      <w:r w:rsidR="001F3BD5" w:rsidRPr="00E86BD6">
        <w:rPr>
          <w:rFonts w:ascii="Verdana" w:hAnsi="Verdana"/>
          <w:b/>
          <w:sz w:val="20"/>
        </w:rPr>
        <w:t>tudents</w:t>
      </w:r>
      <w:r w:rsidR="001F3BD5">
        <w:rPr>
          <w:rFonts w:ascii="Verdana" w:hAnsi="Verdana"/>
          <w:sz w:val="20"/>
        </w:rPr>
        <w:t xml:space="preserve">: </w:t>
      </w:r>
      <w:r w:rsidR="007F09A2">
        <w:rPr>
          <w:rFonts w:ascii="Verdana" w:hAnsi="Verdana"/>
          <w:sz w:val="20"/>
        </w:rPr>
        <w:t>This metric tracks s</w:t>
      </w:r>
      <w:r w:rsidR="001F3BD5">
        <w:rPr>
          <w:rFonts w:ascii="Verdana" w:hAnsi="Verdana"/>
          <w:sz w:val="20"/>
        </w:rPr>
        <w:t xml:space="preserve">tudents in families receiving public aid, living in </w:t>
      </w:r>
      <w:r w:rsidR="00550381">
        <w:rPr>
          <w:rFonts w:ascii="Verdana" w:hAnsi="Verdana"/>
          <w:sz w:val="20"/>
        </w:rPr>
        <w:t>substitute</w:t>
      </w:r>
      <w:r w:rsidR="001F3BD5">
        <w:rPr>
          <w:rFonts w:ascii="Verdana" w:hAnsi="Verdana"/>
          <w:sz w:val="20"/>
        </w:rPr>
        <w:t xml:space="preserve"> care, or eligible to receive free or </w:t>
      </w:r>
      <w:r w:rsidR="00901F13">
        <w:rPr>
          <w:rFonts w:ascii="Verdana" w:hAnsi="Verdana"/>
          <w:sz w:val="20"/>
        </w:rPr>
        <w:t>reduced-</w:t>
      </w:r>
      <w:r w:rsidR="001F3BD5">
        <w:rPr>
          <w:rFonts w:ascii="Verdana" w:hAnsi="Verdana"/>
          <w:sz w:val="20"/>
        </w:rPr>
        <w:t xml:space="preserve">price lunches. </w:t>
      </w:r>
    </w:p>
    <w:p w14:paraId="46CAFB07" w14:textId="77777777" w:rsidR="001F3BD5" w:rsidRDefault="001F3BD5" w:rsidP="00F66A61">
      <w:pPr>
        <w:rPr>
          <w:rFonts w:ascii="Verdana" w:hAnsi="Verdana"/>
          <w:sz w:val="20"/>
        </w:rPr>
      </w:pPr>
    </w:p>
    <w:p w14:paraId="35BAB99C" w14:textId="65D4E8F7" w:rsidR="001F3BD5" w:rsidRDefault="00E86BD6" w:rsidP="00F66A61">
      <w:pPr>
        <w:rPr>
          <w:rFonts w:ascii="Verdana" w:hAnsi="Verdana"/>
          <w:sz w:val="20"/>
        </w:rPr>
      </w:pPr>
      <w:r w:rsidRPr="00E86BD6">
        <w:rPr>
          <w:rFonts w:ascii="Verdana" w:hAnsi="Verdana"/>
          <w:b/>
          <w:sz w:val="20"/>
        </w:rPr>
        <w:t>English L</w:t>
      </w:r>
      <w:r w:rsidR="006E67E4" w:rsidRPr="00E86BD6">
        <w:rPr>
          <w:rFonts w:ascii="Verdana" w:hAnsi="Verdana"/>
          <w:b/>
          <w:sz w:val="20"/>
        </w:rPr>
        <w:t>earners</w:t>
      </w:r>
      <w:r w:rsidR="006E67E4">
        <w:rPr>
          <w:rFonts w:ascii="Verdana" w:hAnsi="Verdana"/>
          <w:sz w:val="20"/>
        </w:rPr>
        <w:t xml:space="preserve">: </w:t>
      </w:r>
      <w:r w:rsidR="007F09A2">
        <w:rPr>
          <w:rFonts w:ascii="Verdana" w:hAnsi="Verdana"/>
          <w:sz w:val="20"/>
        </w:rPr>
        <w:t>This metric shows s</w:t>
      </w:r>
      <w:r w:rsidR="006E67E4">
        <w:rPr>
          <w:rFonts w:ascii="Verdana" w:hAnsi="Verdana"/>
          <w:sz w:val="20"/>
        </w:rPr>
        <w:t xml:space="preserve">tudents whose primary language is not English. </w:t>
      </w:r>
    </w:p>
    <w:p w14:paraId="26D0C100" w14:textId="77777777" w:rsidR="00D8597F" w:rsidRPr="00B9334F" w:rsidRDefault="00D8597F" w:rsidP="00F66A61">
      <w:pPr>
        <w:rPr>
          <w:rFonts w:ascii="Verdana" w:hAnsi="Verdana"/>
          <w:sz w:val="20"/>
        </w:rPr>
      </w:pPr>
    </w:p>
    <w:p w14:paraId="09896E20" w14:textId="22BEB2D4" w:rsidR="00F66A61" w:rsidRPr="00B9334F" w:rsidRDefault="00F66A61" w:rsidP="00F66A61">
      <w:pPr>
        <w:rPr>
          <w:rFonts w:ascii="Verdana" w:hAnsi="Verdana"/>
          <w:sz w:val="20"/>
        </w:rPr>
      </w:pPr>
      <w:r w:rsidRPr="00B9334F">
        <w:rPr>
          <w:rFonts w:ascii="Verdana" w:hAnsi="Verdana"/>
          <w:b/>
          <w:sz w:val="20"/>
        </w:rPr>
        <w:t>Principal Turnover</w:t>
      </w:r>
      <w:r>
        <w:rPr>
          <w:rFonts w:ascii="Verdana" w:hAnsi="Verdana"/>
          <w:sz w:val="20"/>
        </w:rPr>
        <w:t xml:space="preserve">: </w:t>
      </w:r>
      <w:r w:rsidR="007F09A2">
        <w:rPr>
          <w:rFonts w:ascii="Verdana" w:hAnsi="Verdana"/>
          <w:sz w:val="20"/>
        </w:rPr>
        <w:t>This m</w:t>
      </w:r>
      <w:r w:rsidRPr="00B9334F">
        <w:rPr>
          <w:rFonts w:ascii="Verdana" w:hAnsi="Verdana"/>
          <w:sz w:val="20"/>
        </w:rPr>
        <w:t>easures the number of principals who have worked at a school in the past six school years.</w:t>
      </w:r>
    </w:p>
    <w:p w14:paraId="785266DC" w14:textId="77777777" w:rsidR="00F66A61" w:rsidRPr="00B9334F" w:rsidRDefault="00F66A61" w:rsidP="00F66A61">
      <w:pPr>
        <w:rPr>
          <w:rFonts w:ascii="Verdana" w:hAnsi="Verdana"/>
          <w:sz w:val="20"/>
        </w:rPr>
      </w:pPr>
    </w:p>
    <w:p w14:paraId="0C4110B1" w14:textId="756E7418" w:rsidR="00F66A61" w:rsidRDefault="00F66A61" w:rsidP="00F66A61">
      <w:pPr>
        <w:rPr>
          <w:rFonts w:ascii="Verdana" w:hAnsi="Verdana"/>
          <w:sz w:val="20"/>
        </w:rPr>
      </w:pPr>
      <w:r w:rsidRPr="00B9334F">
        <w:rPr>
          <w:rFonts w:ascii="Verdana" w:hAnsi="Verdana"/>
          <w:b/>
          <w:sz w:val="20"/>
        </w:rPr>
        <w:t>Teacher Retention</w:t>
      </w:r>
      <w:r>
        <w:rPr>
          <w:rFonts w:ascii="Verdana" w:hAnsi="Verdana"/>
          <w:sz w:val="20"/>
        </w:rPr>
        <w:t xml:space="preserve">: </w:t>
      </w:r>
      <w:r w:rsidR="007F09A2">
        <w:rPr>
          <w:rFonts w:ascii="Verdana" w:hAnsi="Verdana"/>
          <w:sz w:val="20"/>
        </w:rPr>
        <w:t>This r</w:t>
      </w:r>
      <w:r>
        <w:rPr>
          <w:rFonts w:ascii="Verdana" w:hAnsi="Verdana"/>
          <w:sz w:val="20"/>
        </w:rPr>
        <w:t>eports</w:t>
      </w:r>
      <w:r w:rsidRPr="00B9334F">
        <w:rPr>
          <w:rFonts w:ascii="Verdana" w:hAnsi="Verdana"/>
          <w:sz w:val="20"/>
        </w:rPr>
        <w:t xml:space="preserve"> the percentage of teachers returning to </w:t>
      </w:r>
      <w:r>
        <w:rPr>
          <w:rFonts w:ascii="Verdana" w:hAnsi="Verdana"/>
          <w:sz w:val="20"/>
        </w:rPr>
        <w:t xml:space="preserve">a </w:t>
      </w:r>
      <w:r w:rsidRPr="00B9334F">
        <w:rPr>
          <w:rFonts w:ascii="Verdana" w:hAnsi="Verdana"/>
          <w:sz w:val="20"/>
        </w:rPr>
        <w:t>school over the last three school years.</w:t>
      </w:r>
    </w:p>
    <w:p w14:paraId="39B10119" w14:textId="6E6B4FF0" w:rsidR="00E86BD6" w:rsidRDefault="00502F5B" w:rsidP="00F66A61">
      <w:pPr>
        <w:rPr>
          <w:rFonts w:ascii="Verdana" w:hAnsi="Verdana"/>
          <w:sz w:val="20"/>
        </w:rPr>
      </w:pPr>
      <w:r w:rsidRPr="00B9334F">
        <w:rPr>
          <w:rFonts w:ascii="Verdana" w:hAnsi="Verdana"/>
          <w:noProof/>
          <w:sz w:val="20"/>
        </w:rPr>
        <w:drawing>
          <wp:anchor distT="0" distB="0" distL="114300" distR="114300" simplePos="0" relativeHeight="251661312" behindDoc="0" locked="0" layoutInCell="1" allowOverlap="1" wp14:anchorId="2A9F7637" wp14:editId="6F330C63">
            <wp:simplePos x="0" y="0"/>
            <wp:positionH relativeFrom="column">
              <wp:posOffset>4558665</wp:posOffset>
            </wp:positionH>
            <wp:positionV relativeFrom="paragraph">
              <wp:posOffset>143510</wp:posOffset>
            </wp:positionV>
            <wp:extent cx="1645920" cy="1693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ssentials graph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5920" cy="1693545"/>
                    </a:xfrm>
                    <a:prstGeom prst="rect">
                      <a:avLst/>
                    </a:prstGeom>
                  </pic:spPr>
                </pic:pic>
              </a:graphicData>
            </a:graphic>
          </wp:anchor>
        </w:drawing>
      </w:r>
    </w:p>
    <w:p w14:paraId="5683E92F" w14:textId="31C2BFE1" w:rsidR="00E86BD6" w:rsidRDefault="00E86BD6" w:rsidP="00F66A61">
      <w:pPr>
        <w:rPr>
          <w:rFonts w:ascii="Verdana" w:hAnsi="Verdana"/>
          <w:sz w:val="20"/>
        </w:rPr>
      </w:pPr>
      <w:r w:rsidRPr="00E86BD6">
        <w:rPr>
          <w:rFonts w:ascii="Verdana" w:hAnsi="Verdana"/>
          <w:b/>
          <w:sz w:val="20"/>
        </w:rPr>
        <w:t>District Teacher Salary</w:t>
      </w:r>
      <w:r>
        <w:rPr>
          <w:rFonts w:ascii="Verdana" w:hAnsi="Verdana"/>
          <w:sz w:val="20"/>
        </w:rPr>
        <w:t xml:space="preserve">: </w:t>
      </w:r>
      <w:r w:rsidR="007F09A2">
        <w:rPr>
          <w:rFonts w:ascii="Verdana" w:hAnsi="Verdana"/>
          <w:sz w:val="20"/>
        </w:rPr>
        <w:t>This shows a</w:t>
      </w:r>
      <w:r>
        <w:rPr>
          <w:rFonts w:ascii="Verdana" w:hAnsi="Verdana"/>
          <w:sz w:val="20"/>
        </w:rPr>
        <w:t xml:space="preserve">verage salary for teachers. </w:t>
      </w:r>
    </w:p>
    <w:p w14:paraId="2FB826BE" w14:textId="77777777" w:rsidR="00E86BD6" w:rsidRDefault="00E86BD6" w:rsidP="00F66A61">
      <w:pPr>
        <w:rPr>
          <w:rFonts w:ascii="Verdana" w:hAnsi="Verdana"/>
          <w:sz w:val="20"/>
        </w:rPr>
      </w:pPr>
    </w:p>
    <w:p w14:paraId="46B303A4" w14:textId="68493506" w:rsidR="00E86BD6" w:rsidRPr="00B9334F" w:rsidRDefault="00E86BD6" w:rsidP="00F66A61">
      <w:pPr>
        <w:rPr>
          <w:rFonts w:ascii="Verdana" w:hAnsi="Verdana"/>
          <w:sz w:val="20"/>
        </w:rPr>
      </w:pPr>
      <w:r w:rsidRPr="00E86BD6">
        <w:rPr>
          <w:rFonts w:ascii="Verdana" w:hAnsi="Verdana"/>
          <w:b/>
          <w:sz w:val="20"/>
        </w:rPr>
        <w:t>Pupil/Teacher Ratios</w:t>
      </w:r>
      <w:r>
        <w:rPr>
          <w:rFonts w:ascii="Verdana" w:hAnsi="Verdana"/>
          <w:sz w:val="20"/>
        </w:rPr>
        <w:t xml:space="preserve">: </w:t>
      </w:r>
      <w:r w:rsidR="007F09A2">
        <w:rPr>
          <w:rFonts w:ascii="Verdana" w:hAnsi="Verdana"/>
          <w:sz w:val="20"/>
        </w:rPr>
        <w:t>This shows a</w:t>
      </w:r>
      <w:r>
        <w:rPr>
          <w:rFonts w:ascii="Verdana" w:hAnsi="Verdana"/>
          <w:sz w:val="20"/>
        </w:rPr>
        <w:t>verage number of pupils per teacher</w:t>
      </w:r>
      <w:r w:rsidR="007F09A2">
        <w:rPr>
          <w:rFonts w:ascii="Verdana" w:hAnsi="Verdana"/>
          <w:sz w:val="20"/>
        </w:rPr>
        <w:t>.</w:t>
      </w:r>
      <w:r>
        <w:rPr>
          <w:rFonts w:ascii="Verdana" w:hAnsi="Verdana"/>
          <w:sz w:val="20"/>
        </w:rPr>
        <w:t xml:space="preserve"> </w:t>
      </w:r>
    </w:p>
    <w:p w14:paraId="372A1910" w14:textId="77777777" w:rsidR="00F66A61" w:rsidRPr="00B9334F" w:rsidRDefault="00F66A61" w:rsidP="00F66A61">
      <w:pPr>
        <w:rPr>
          <w:rFonts w:ascii="Verdana" w:hAnsi="Verdana"/>
          <w:sz w:val="20"/>
        </w:rPr>
      </w:pPr>
    </w:p>
    <w:p w14:paraId="65104E95" w14:textId="3E63AE00" w:rsidR="00F66A61" w:rsidRDefault="00502F5B" w:rsidP="00F66A61">
      <w:pPr>
        <w:rPr>
          <w:rFonts w:ascii="Verdana" w:hAnsi="Verdana"/>
          <w:sz w:val="20"/>
        </w:rPr>
      </w:pPr>
      <w:r>
        <w:rPr>
          <w:rFonts w:ascii="Verdana" w:hAnsi="Verdana"/>
          <w:noProof/>
          <w:sz w:val="20"/>
        </w:rPr>
        <mc:AlternateContent>
          <mc:Choice Requires="wps">
            <w:drawing>
              <wp:anchor distT="0" distB="0" distL="114300" distR="114300" simplePos="0" relativeHeight="251662336" behindDoc="0" locked="0" layoutInCell="1" allowOverlap="1" wp14:anchorId="0939C566" wp14:editId="0FA499D7">
                <wp:simplePos x="0" y="0"/>
                <wp:positionH relativeFrom="column">
                  <wp:posOffset>4745990</wp:posOffset>
                </wp:positionH>
                <wp:positionV relativeFrom="paragraph">
                  <wp:posOffset>916305</wp:posOffset>
                </wp:positionV>
                <wp:extent cx="1359535" cy="208280"/>
                <wp:effectExtent l="0" t="0" r="0" b="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08280"/>
                        </a:xfrm>
                        <a:prstGeom prst="rect">
                          <a:avLst/>
                        </a:prstGeom>
                        <a:solidFill>
                          <a:srgbClr val="FFFFFF"/>
                        </a:solidFill>
                        <a:ln w="9525">
                          <a:noFill/>
                          <a:miter lim="800000"/>
                          <a:headEnd/>
                          <a:tailEnd/>
                        </a:ln>
                      </wps:spPr>
                      <wps:txbx>
                        <w:txbxContent>
                          <w:p w14:paraId="08568EA8" w14:textId="77777777" w:rsidR="00355BBF" w:rsidRPr="00B9334F" w:rsidRDefault="00355BBF" w:rsidP="00F66A61">
                            <w:pPr>
                              <w:rPr>
                                <w:sz w:val="16"/>
                              </w:rPr>
                            </w:pPr>
                            <w:r w:rsidRPr="00B9334F">
                              <w:rPr>
                                <w:sz w:val="16"/>
                              </w:rPr>
                              <w:t>Figure 1: The 5Essentials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73.7pt;margin-top:72.15pt;width:107.05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VIQIAAB8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" stroked="f">
                <v:textbox style="mso-fit-shape-to-text:t">
                  <w:txbxContent>
                    <w:p w14:paraId="08568EA8" w14:textId="77777777" w:rsidR="00355BBF" w:rsidRPr="00B9334F" w:rsidRDefault="00355BBF" w:rsidP="00F66A61">
                      <w:pPr>
                        <w:rPr>
                          <w:sz w:val="16"/>
                        </w:rPr>
                      </w:pPr>
                      <w:r w:rsidRPr="00B9334F">
                        <w:rPr>
                          <w:sz w:val="16"/>
                        </w:rPr>
                        <w:t>Figure 1: The 5Essentials</w:t>
                      </w:r>
                    </w:p>
                  </w:txbxContent>
                </v:textbox>
                <w10:wrap type="square"/>
              </v:shape>
            </w:pict>
          </mc:Fallback>
        </mc:AlternateContent>
      </w:r>
      <w:r w:rsidR="00F66A61" w:rsidRPr="00B9334F">
        <w:rPr>
          <w:rFonts w:ascii="Verdana" w:hAnsi="Verdana"/>
          <w:b/>
          <w:sz w:val="20"/>
        </w:rPr>
        <w:t>Illinois 5Essentials</w:t>
      </w:r>
      <w:r w:rsidR="00F66A61" w:rsidRPr="00B9334F">
        <w:rPr>
          <w:rFonts w:ascii="Verdana" w:hAnsi="Verdana"/>
          <w:sz w:val="20"/>
        </w:rPr>
        <w:t xml:space="preserve">: </w:t>
      </w:r>
      <w:r w:rsidR="001F6C24">
        <w:rPr>
          <w:rFonts w:ascii="Verdana" w:hAnsi="Verdana"/>
          <w:sz w:val="20"/>
        </w:rPr>
        <w:t>Illinois</w:t>
      </w:r>
      <w:r w:rsidR="00F66A61" w:rsidRPr="00B9334F">
        <w:rPr>
          <w:rFonts w:ascii="Verdana" w:hAnsi="Verdana"/>
          <w:sz w:val="20"/>
        </w:rPr>
        <w:t xml:space="preserve"> 5Essentials results </w:t>
      </w:r>
      <w:r w:rsidR="00121AB0">
        <w:rPr>
          <w:rFonts w:ascii="Verdana" w:hAnsi="Verdana"/>
          <w:sz w:val="20"/>
        </w:rPr>
        <w:t xml:space="preserve">are now </w:t>
      </w:r>
      <w:r w:rsidR="00F66A61" w:rsidRPr="00B9334F">
        <w:rPr>
          <w:rFonts w:ascii="Verdana" w:hAnsi="Verdana"/>
          <w:sz w:val="20"/>
        </w:rPr>
        <w:t xml:space="preserve">posted on </w:t>
      </w:r>
      <w:hyperlink r:id="rId18" w:history="1">
        <w:r w:rsidR="001F6C24" w:rsidRPr="00916C95">
          <w:rPr>
            <w:rStyle w:val="Hyperlink"/>
            <w:rFonts w:ascii="Verdana" w:hAnsi="Verdana"/>
            <w:sz w:val="20"/>
          </w:rPr>
          <w:t>www.illinoisreportcard.com</w:t>
        </w:r>
      </w:hyperlink>
      <w:r w:rsidR="001F6C24">
        <w:rPr>
          <w:rStyle w:val="Hyperlink"/>
          <w:rFonts w:ascii="Verdana" w:hAnsi="Verdana"/>
          <w:sz w:val="20"/>
        </w:rPr>
        <w:t xml:space="preserve"> </w:t>
      </w:r>
      <w:r w:rsidR="001F6C24">
        <w:rPr>
          <w:rFonts w:ascii="Verdana" w:hAnsi="Verdana"/>
          <w:sz w:val="20"/>
        </w:rPr>
        <w:t>and on e</w:t>
      </w:r>
      <w:r>
        <w:rPr>
          <w:rFonts w:ascii="Verdana" w:hAnsi="Verdana"/>
          <w:sz w:val="20"/>
        </w:rPr>
        <w:t>ach school’s At-a-Glance Report</w:t>
      </w:r>
      <w:r w:rsidR="001F6C24">
        <w:rPr>
          <w:rFonts w:ascii="Verdana" w:hAnsi="Verdana"/>
          <w:sz w:val="20"/>
        </w:rPr>
        <w:t>s</w:t>
      </w:r>
      <w:r w:rsidR="00121AB0">
        <w:rPr>
          <w:rFonts w:ascii="Verdana" w:hAnsi="Verdana"/>
          <w:sz w:val="20"/>
        </w:rPr>
        <w:t xml:space="preserve">. </w:t>
      </w:r>
      <w:r w:rsidR="00F66A61">
        <w:rPr>
          <w:rFonts w:ascii="Verdana" w:hAnsi="Verdana"/>
          <w:sz w:val="20"/>
        </w:rPr>
        <w:t>The 5Essentials is a statewide survey of individual schools’ learning conditions and environment, completed by all sixth- through 12</w:t>
      </w:r>
      <w:r w:rsidR="00F66A61" w:rsidRPr="00CA34BA">
        <w:rPr>
          <w:rFonts w:ascii="Verdana" w:hAnsi="Verdana"/>
          <w:sz w:val="20"/>
          <w:vertAlign w:val="superscript"/>
        </w:rPr>
        <w:t>th</w:t>
      </w:r>
      <w:r w:rsidR="00F66A61">
        <w:rPr>
          <w:rFonts w:ascii="Verdana" w:hAnsi="Verdana"/>
          <w:sz w:val="20"/>
        </w:rPr>
        <w:t xml:space="preserve">-grade students and all </w:t>
      </w:r>
      <w:r w:rsidR="00D42091">
        <w:rPr>
          <w:rFonts w:ascii="Verdana" w:hAnsi="Verdana"/>
          <w:sz w:val="20"/>
        </w:rPr>
        <w:t>prekindergarten</w:t>
      </w:r>
      <w:r w:rsidR="00F66A61">
        <w:rPr>
          <w:rFonts w:ascii="Verdana" w:hAnsi="Verdana"/>
          <w:sz w:val="20"/>
        </w:rPr>
        <w:t xml:space="preserve"> through 12</w:t>
      </w:r>
      <w:r w:rsidR="00F66A61" w:rsidRPr="00CA34BA">
        <w:rPr>
          <w:rFonts w:ascii="Verdana" w:hAnsi="Verdana"/>
          <w:sz w:val="20"/>
          <w:vertAlign w:val="superscript"/>
        </w:rPr>
        <w:t>th</w:t>
      </w:r>
      <w:r w:rsidR="00121AB0">
        <w:rPr>
          <w:rFonts w:ascii="Verdana" w:hAnsi="Verdana"/>
          <w:sz w:val="20"/>
        </w:rPr>
        <w:t xml:space="preserve">-grade teachers. These results </w:t>
      </w:r>
      <w:r w:rsidR="00F66A61" w:rsidRPr="00B9334F">
        <w:rPr>
          <w:rFonts w:ascii="Verdana" w:hAnsi="Verdana"/>
          <w:sz w:val="20"/>
        </w:rPr>
        <w:t xml:space="preserve">are benchmarked to 2013 statewide 5Essentials data to allow for year-to-year comparison. </w:t>
      </w:r>
      <w:r w:rsidR="00F66A61">
        <w:rPr>
          <w:rFonts w:ascii="Verdana" w:hAnsi="Verdana"/>
          <w:sz w:val="20"/>
        </w:rPr>
        <w:t xml:space="preserve">The survey is </w:t>
      </w:r>
      <w:r w:rsidR="00F66A61">
        <w:rPr>
          <w:rFonts w:ascii="Verdana" w:hAnsi="Verdana"/>
          <w:sz w:val="20"/>
        </w:rPr>
        <w:lastRenderedPageBreak/>
        <w:t xml:space="preserve">based on </w:t>
      </w:r>
      <w:r w:rsidR="00F66A61" w:rsidRPr="00B9334F">
        <w:rPr>
          <w:rFonts w:ascii="Verdana" w:hAnsi="Verdana"/>
          <w:sz w:val="20"/>
        </w:rPr>
        <w:t xml:space="preserve">20 years of research by University of Chicago </w:t>
      </w:r>
      <w:r w:rsidR="00F66A61">
        <w:rPr>
          <w:rFonts w:ascii="Verdana" w:hAnsi="Verdana"/>
          <w:sz w:val="20"/>
        </w:rPr>
        <w:t>Consortium on Chicago School Research.</w:t>
      </w:r>
    </w:p>
    <w:p w14:paraId="3DA386D1" w14:textId="3BEDA84A" w:rsidR="00F66A61" w:rsidRPr="00B9334F" w:rsidRDefault="00F66A61" w:rsidP="00F66A61">
      <w:pPr>
        <w:rPr>
          <w:rFonts w:ascii="Verdana" w:hAnsi="Verdana"/>
          <w:sz w:val="20"/>
        </w:rPr>
      </w:pPr>
    </w:p>
    <w:p w14:paraId="4577CDDA" w14:textId="3B365C9C" w:rsidR="00F66A61" w:rsidRPr="00B9334F" w:rsidRDefault="00F66A61" w:rsidP="00F66A61">
      <w:pPr>
        <w:rPr>
          <w:rFonts w:ascii="Verdana" w:hAnsi="Verdana"/>
          <w:sz w:val="20"/>
        </w:rPr>
      </w:pPr>
      <w:r w:rsidRPr="00B9334F">
        <w:rPr>
          <w:rFonts w:ascii="Verdana" w:hAnsi="Verdana"/>
          <w:sz w:val="20"/>
        </w:rPr>
        <w:t>The 5Essentials measure</w:t>
      </w:r>
      <w:r w:rsidR="007D1883">
        <w:rPr>
          <w:rFonts w:ascii="Verdana" w:hAnsi="Verdana"/>
          <w:sz w:val="20"/>
        </w:rPr>
        <w:t>s</w:t>
      </w:r>
      <w:r w:rsidRPr="00B9334F">
        <w:rPr>
          <w:rFonts w:ascii="Verdana" w:hAnsi="Verdana"/>
          <w:sz w:val="20"/>
        </w:rPr>
        <w:t xml:space="preserve"> performance on five school environment components found to be essential supports to student learning</w:t>
      </w:r>
      <w:r w:rsidR="007D1883">
        <w:rPr>
          <w:rFonts w:ascii="Verdana" w:hAnsi="Verdana"/>
          <w:sz w:val="20"/>
        </w:rPr>
        <w:t>.</w:t>
      </w:r>
    </w:p>
    <w:p w14:paraId="2020FA71" w14:textId="7D265A40" w:rsidR="00F66A61" w:rsidRPr="00B9334F" w:rsidRDefault="00F66A61" w:rsidP="00121AB0">
      <w:pPr>
        <w:ind w:left="720" w:hanging="540"/>
        <w:rPr>
          <w:rFonts w:ascii="Verdana" w:hAnsi="Verdana"/>
          <w:sz w:val="20"/>
        </w:rPr>
      </w:pPr>
      <w:r w:rsidRPr="00B9334F">
        <w:rPr>
          <w:rFonts w:ascii="Verdana" w:hAnsi="Verdana"/>
          <w:sz w:val="20"/>
        </w:rPr>
        <w:t>•</w:t>
      </w:r>
      <w:r w:rsidRPr="00B9334F">
        <w:rPr>
          <w:rFonts w:ascii="Verdana" w:hAnsi="Verdana"/>
          <w:sz w:val="20"/>
        </w:rPr>
        <w:tab/>
        <w:t xml:space="preserve">Collaborative Teachers: Do </w:t>
      </w:r>
      <w:r w:rsidR="00121AB0">
        <w:rPr>
          <w:rFonts w:ascii="Verdana" w:hAnsi="Verdana"/>
          <w:sz w:val="20"/>
        </w:rPr>
        <w:t xml:space="preserve">teachers collaborate to promote </w:t>
      </w:r>
      <w:r w:rsidRPr="00B9334F">
        <w:rPr>
          <w:rFonts w:ascii="Verdana" w:hAnsi="Verdana"/>
          <w:sz w:val="20"/>
        </w:rPr>
        <w:t>professional growth?</w:t>
      </w:r>
    </w:p>
    <w:p w14:paraId="2C347727" w14:textId="2E7D1DD3" w:rsidR="00F66A61" w:rsidRPr="00B9334F" w:rsidRDefault="00F66A61" w:rsidP="00121AB0">
      <w:pPr>
        <w:ind w:left="720" w:hanging="540"/>
        <w:rPr>
          <w:rFonts w:ascii="Verdana" w:hAnsi="Verdana"/>
          <w:sz w:val="20"/>
        </w:rPr>
      </w:pPr>
      <w:r w:rsidRPr="00B9334F">
        <w:rPr>
          <w:rFonts w:ascii="Verdana" w:hAnsi="Verdana"/>
          <w:sz w:val="20"/>
        </w:rPr>
        <w:t>•</w:t>
      </w:r>
      <w:r w:rsidRPr="00B9334F">
        <w:rPr>
          <w:rFonts w:ascii="Verdana" w:hAnsi="Verdana"/>
          <w:sz w:val="20"/>
        </w:rPr>
        <w:tab/>
        <w:t>Involved Families: Does the entire staff build strong external relationships?</w:t>
      </w:r>
    </w:p>
    <w:p w14:paraId="73CBCC30" w14:textId="4879461F" w:rsidR="00F66A61" w:rsidRPr="00B9334F" w:rsidRDefault="00F66A61" w:rsidP="00F66A61">
      <w:pPr>
        <w:ind w:left="180"/>
        <w:rPr>
          <w:rFonts w:ascii="Verdana" w:hAnsi="Verdana"/>
          <w:sz w:val="20"/>
        </w:rPr>
      </w:pPr>
      <w:r w:rsidRPr="00B9334F">
        <w:rPr>
          <w:rFonts w:ascii="Verdana" w:hAnsi="Verdana"/>
          <w:sz w:val="20"/>
        </w:rPr>
        <w:t>•</w:t>
      </w:r>
      <w:r w:rsidRPr="00B9334F">
        <w:rPr>
          <w:rFonts w:ascii="Verdana" w:hAnsi="Verdana"/>
          <w:sz w:val="20"/>
        </w:rPr>
        <w:tab/>
        <w:t>Ambitious Instruction: Are classes challenging and engaging?</w:t>
      </w:r>
    </w:p>
    <w:p w14:paraId="6C65300A" w14:textId="559BC523" w:rsidR="00F66A61" w:rsidRPr="00B9334F" w:rsidRDefault="00F66A61" w:rsidP="00B64B57">
      <w:pPr>
        <w:ind w:left="720" w:hanging="540"/>
        <w:rPr>
          <w:rFonts w:ascii="Verdana" w:hAnsi="Verdana"/>
          <w:sz w:val="20"/>
        </w:rPr>
      </w:pPr>
      <w:r w:rsidRPr="00B9334F">
        <w:rPr>
          <w:rFonts w:ascii="Verdana" w:hAnsi="Verdana"/>
          <w:sz w:val="20"/>
        </w:rPr>
        <w:t>•</w:t>
      </w:r>
      <w:r w:rsidRPr="00B9334F">
        <w:rPr>
          <w:rFonts w:ascii="Verdana" w:hAnsi="Verdana"/>
          <w:sz w:val="20"/>
        </w:rPr>
        <w:tab/>
        <w:t>Supportive Environment</w:t>
      </w:r>
      <w:r>
        <w:rPr>
          <w:rFonts w:ascii="Verdana" w:hAnsi="Verdana"/>
          <w:sz w:val="20"/>
        </w:rPr>
        <w:t>: Is the school safe, demanding</w:t>
      </w:r>
      <w:r w:rsidR="00D42091">
        <w:rPr>
          <w:rFonts w:ascii="Verdana" w:hAnsi="Verdana"/>
          <w:sz w:val="20"/>
        </w:rPr>
        <w:t>,</w:t>
      </w:r>
      <w:r w:rsidRPr="00B9334F">
        <w:rPr>
          <w:rFonts w:ascii="Verdana" w:hAnsi="Verdana"/>
          <w:sz w:val="20"/>
        </w:rPr>
        <w:t xml:space="preserve"> and supportive?</w:t>
      </w:r>
    </w:p>
    <w:p w14:paraId="00F0F156" w14:textId="22EF09EE" w:rsidR="00F66A61" w:rsidRDefault="00F66A61" w:rsidP="00121AB0">
      <w:pPr>
        <w:ind w:left="720" w:hanging="540"/>
        <w:rPr>
          <w:rFonts w:ascii="Verdana" w:hAnsi="Verdana"/>
          <w:sz w:val="20"/>
        </w:rPr>
      </w:pPr>
      <w:r w:rsidRPr="00B9334F">
        <w:rPr>
          <w:rFonts w:ascii="Verdana" w:hAnsi="Verdana"/>
          <w:sz w:val="20"/>
        </w:rPr>
        <w:t>•</w:t>
      </w:r>
      <w:r w:rsidRPr="00B9334F">
        <w:rPr>
          <w:rFonts w:ascii="Verdana" w:hAnsi="Verdana"/>
          <w:sz w:val="20"/>
        </w:rPr>
        <w:tab/>
        <w:t>Effective Leaders: Do principals and teachers implement a shared vision for success?</w:t>
      </w:r>
    </w:p>
    <w:p w14:paraId="7E7F4F88" w14:textId="77777777" w:rsidR="004E6335" w:rsidRPr="00B9334F" w:rsidRDefault="004E6335" w:rsidP="00121AB0">
      <w:pPr>
        <w:ind w:left="720" w:hanging="540"/>
        <w:rPr>
          <w:rFonts w:ascii="Verdana" w:hAnsi="Verdana"/>
          <w:sz w:val="20"/>
        </w:rPr>
      </w:pPr>
    </w:p>
    <w:p w14:paraId="54DC2634" w14:textId="53E6C0DB" w:rsidR="00F66A61" w:rsidRPr="00B9334F" w:rsidRDefault="00F66A61" w:rsidP="00F66A61">
      <w:pPr>
        <w:rPr>
          <w:rFonts w:ascii="Verdana" w:hAnsi="Verdana"/>
          <w:sz w:val="20"/>
        </w:rPr>
      </w:pPr>
      <w:r w:rsidRPr="00B9334F">
        <w:rPr>
          <w:rFonts w:ascii="Verdana" w:hAnsi="Verdana"/>
          <w:b/>
          <w:sz w:val="20"/>
        </w:rPr>
        <w:t>At-a-Glance Highlights</w:t>
      </w:r>
      <w:r w:rsidRPr="00B9334F">
        <w:rPr>
          <w:rFonts w:ascii="Verdana" w:hAnsi="Verdana"/>
          <w:sz w:val="20"/>
        </w:rPr>
        <w:t xml:space="preserve">: Information on </w:t>
      </w:r>
      <w:r>
        <w:rPr>
          <w:rFonts w:ascii="Verdana" w:hAnsi="Verdana"/>
          <w:sz w:val="20"/>
        </w:rPr>
        <w:t>s</w:t>
      </w:r>
      <w:r w:rsidRPr="00B9334F">
        <w:rPr>
          <w:rFonts w:ascii="Verdana" w:hAnsi="Verdana"/>
          <w:sz w:val="20"/>
        </w:rPr>
        <w:t xml:space="preserve">chool </w:t>
      </w:r>
      <w:r>
        <w:rPr>
          <w:rFonts w:ascii="Verdana" w:hAnsi="Verdana"/>
          <w:sz w:val="20"/>
        </w:rPr>
        <w:t>p</w:t>
      </w:r>
      <w:r w:rsidRPr="00B9334F">
        <w:rPr>
          <w:rFonts w:ascii="Verdana" w:hAnsi="Verdana"/>
          <w:sz w:val="20"/>
        </w:rPr>
        <w:t>ersonnel</w:t>
      </w:r>
      <w:r>
        <w:rPr>
          <w:rFonts w:ascii="Verdana" w:hAnsi="Verdana"/>
          <w:sz w:val="20"/>
        </w:rPr>
        <w:t>,</w:t>
      </w:r>
      <w:r w:rsidRPr="00B9334F">
        <w:rPr>
          <w:rFonts w:ascii="Verdana" w:hAnsi="Verdana"/>
          <w:sz w:val="20"/>
        </w:rPr>
        <w:t xml:space="preserve"> </w:t>
      </w:r>
      <w:r>
        <w:rPr>
          <w:rFonts w:ascii="Verdana" w:hAnsi="Verdana"/>
          <w:sz w:val="20"/>
        </w:rPr>
        <w:t>r</w:t>
      </w:r>
      <w:r w:rsidRPr="00B9334F">
        <w:rPr>
          <w:rFonts w:ascii="Verdana" w:hAnsi="Verdana"/>
          <w:sz w:val="20"/>
        </w:rPr>
        <w:t>esources</w:t>
      </w:r>
      <w:r w:rsidR="00D42091">
        <w:rPr>
          <w:rFonts w:ascii="Verdana" w:hAnsi="Verdana"/>
          <w:sz w:val="20"/>
        </w:rPr>
        <w:t>,</w:t>
      </w:r>
      <w:r w:rsidRPr="00B9334F">
        <w:rPr>
          <w:rFonts w:ascii="Verdana" w:hAnsi="Verdana"/>
          <w:sz w:val="20"/>
        </w:rPr>
        <w:t xml:space="preserve"> and </w:t>
      </w:r>
      <w:r>
        <w:rPr>
          <w:rFonts w:ascii="Verdana" w:hAnsi="Verdana"/>
          <w:sz w:val="20"/>
        </w:rPr>
        <w:t>s</w:t>
      </w:r>
      <w:r w:rsidRPr="00B9334F">
        <w:rPr>
          <w:rFonts w:ascii="Verdana" w:hAnsi="Verdana"/>
          <w:sz w:val="20"/>
        </w:rPr>
        <w:t xml:space="preserve">chool </w:t>
      </w:r>
      <w:r>
        <w:rPr>
          <w:rFonts w:ascii="Verdana" w:hAnsi="Verdana"/>
          <w:sz w:val="20"/>
        </w:rPr>
        <w:t>f</w:t>
      </w:r>
      <w:r w:rsidRPr="00B9334F">
        <w:rPr>
          <w:rFonts w:ascii="Verdana" w:hAnsi="Verdana"/>
          <w:sz w:val="20"/>
        </w:rPr>
        <w:t xml:space="preserve">acilities will now appear on the school’s </w:t>
      </w:r>
      <w:hyperlink r:id="rId19" w:history="1">
        <w:r w:rsidRPr="006F5D7C">
          <w:rPr>
            <w:rStyle w:val="Hyperlink"/>
            <w:rFonts w:ascii="Verdana" w:hAnsi="Verdana"/>
            <w:sz w:val="20"/>
          </w:rPr>
          <w:t>At-a-Glance Highlights</w:t>
        </w:r>
      </w:hyperlink>
      <w:r w:rsidRPr="00B9334F">
        <w:rPr>
          <w:rFonts w:ascii="Verdana" w:hAnsi="Verdana"/>
          <w:sz w:val="20"/>
        </w:rPr>
        <w:t>.</w:t>
      </w:r>
    </w:p>
    <w:p w14:paraId="1CB280F8" w14:textId="77777777" w:rsidR="00F66A61" w:rsidRPr="00B9334F" w:rsidRDefault="00F66A61" w:rsidP="00F66A61">
      <w:pPr>
        <w:rPr>
          <w:rFonts w:ascii="Verdana" w:hAnsi="Verdana"/>
          <w:sz w:val="20"/>
        </w:rPr>
      </w:pPr>
    </w:p>
    <w:p w14:paraId="070A690A" w14:textId="4B45B3E7" w:rsidR="00F66A61" w:rsidRDefault="00F66A61" w:rsidP="00F66A61">
      <w:pPr>
        <w:rPr>
          <w:rFonts w:ascii="Verdana" w:hAnsi="Verdana"/>
          <w:sz w:val="20"/>
        </w:rPr>
      </w:pPr>
      <w:r w:rsidRPr="00B9334F">
        <w:rPr>
          <w:rFonts w:ascii="Verdana" w:hAnsi="Verdana"/>
          <w:b/>
          <w:sz w:val="20"/>
        </w:rPr>
        <w:t>ACCESS</w:t>
      </w:r>
      <w:r w:rsidRPr="00B9334F">
        <w:rPr>
          <w:rFonts w:ascii="Verdana" w:hAnsi="Verdana"/>
          <w:sz w:val="20"/>
        </w:rPr>
        <w:t>: The ACCESS tests English language proficiency for En</w:t>
      </w:r>
      <w:r w:rsidR="00E86BD6">
        <w:rPr>
          <w:rFonts w:ascii="Verdana" w:hAnsi="Verdana"/>
          <w:sz w:val="20"/>
        </w:rPr>
        <w:t>glish Learner students</w:t>
      </w:r>
      <w:r w:rsidRPr="00B9334F">
        <w:rPr>
          <w:rFonts w:ascii="Verdana" w:hAnsi="Verdana"/>
          <w:sz w:val="20"/>
        </w:rPr>
        <w:t xml:space="preserve">. </w:t>
      </w:r>
    </w:p>
    <w:p w14:paraId="356C47ED" w14:textId="77777777" w:rsidR="00F66A61" w:rsidRPr="00B9334F" w:rsidRDefault="00F66A61" w:rsidP="00F66A61">
      <w:pPr>
        <w:rPr>
          <w:rFonts w:ascii="Verdana" w:hAnsi="Verdana"/>
          <w:b/>
          <w:sz w:val="20"/>
        </w:rPr>
      </w:pPr>
    </w:p>
    <w:p w14:paraId="5E39A1F3" w14:textId="21C98F10" w:rsidR="00F66A61" w:rsidRDefault="00F66A61" w:rsidP="00502F5B">
      <w:pPr>
        <w:rPr>
          <w:rFonts w:ascii="Verdana" w:hAnsi="Verdana"/>
          <w:sz w:val="20"/>
        </w:rPr>
      </w:pPr>
      <w:r w:rsidRPr="00B9334F">
        <w:rPr>
          <w:rFonts w:ascii="Verdana" w:hAnsi="Verdana"/>
          <w:b/>
          <w:sz w:val="20"/>
        </w:rPr>
        <w:t>District Finances</w:t>
      </w:r>
      <w:r w:rsidRPr="00B9334F">
        <w:rPr>
          <w:rFonts w:ascii="Verdana" w:hAnsi="Verdana"/>
          <w:sz w:val="20"/>
        </w:rPr>
        <w:t xml:space="preserve">: The </w:t>
      </w:r>
      <w:r>
        <w:rPr>
          <w:rFonts w:ascii="Verdana" w:hAnsi="Verdana"/>
          <w:sz w:val="20"/>
        </w:rPr>
        <w:t xml:space="preserve">Illinois </w:t>
      </w:r>
      <w:r w:rsidRPr="00B9334F">
        <w:rPr>
          <w:rFonts w:ascii="Verdana" w:hAnsi="Verdana"/>
          <w:sz w:val="20"/>
        </w:rPr>
        <w:t xml:space="preserve">Report Card now displays </w:t>
      </w:r>
      <w:r>
        <w:rPr>
          <w:rFonts w:ascii="Verdana" w:hAnsi="Verdana"/>
          <w:sz w:val="20"/>
        </w:rPr>
        <w:t xml:space="preserve">district-level </w:t>
      </w:r>
      <w:r w:rsidRPr="00B9334F">
        <w:rPr>
          <w:rFonts w:ascii="Verdana" w:hAnsi="Verdana"/>
          <w:sz w:val="20"/>
        </w:rPr>
        <w:t>financial information, including revenues and expenditures, reported in both dollars and percentages</w:t>
      </w:r>
      <w:r w:rsidR="00D8597F">
        <w:rPr>
          <w:rFonts w:ascii="Verdana" w:hAnsi="Verdana"/>
          <w:sz w:val="20"/>
        </w:rPr>
        <w:t>, and per-student spending</w:t>
      </w:r>
      <w:r w:rsidRPr="00B9334F">
        <w:rPr>
          <w:rFonts w:ascii="Verdana" w:hAnsi="Verdana"/>
          <w:sz w:val="20"/>
        </w:rPr>
        <w:t>. One</w:t>
      </w:r>
      <w:r>
        <w:rPr>
          <w:rFonts w:ascii="Verdana" w:hAnsi="Verdana"/>
          <w:sz w:val="20"/>
        </w:rPr>
        <w:t>-</w:t>
      </w:r>
      <w:r w:rsidRPr="00B9334F">
        <w:rPr>
          <w:rFonts w:ascii="Verdana" w:hAnsi="Verdana"/>
          <w:sz w:val="20"/>
        </w:rPr>
        <w:t>year financial data is available, as is five</w:t>
      </w:r>
      <w:r>
        <w:rPr>
          <w:rFonts w:ascii="Verdana" w:hAnsi="Verdana"/>
          <w:sz w:val="20"/>
        </w:rPr>
        <w:t>-</w:t>
      </w:r>
      <w:r w:rsidRPr="00B9334F">
        <w:rPr>
          <w:rFonts w:ascii="Verdana" w:hAnsi="Verdana"/>
          <w:sz w:val="20"/>
        </w:rPr>
        <w:t xml:space="preserve"> and </w:t>
      </w:r>
      <w:r>
        <w:rPr>
          <w:rFonts w:ascii="Verdana" w:hAnsi="Verdana"/>
          <w:sz w:val="20"/>
        </w:rPr>
        <w:t>10</w:t>
      </w:r>
      <w:r w:rsidRPr="00B9334F">
        <w:rPr>
          <w:rFonts w:ascii="Verdana" w:hAnsi="Verdana"/>
          <w:sz w:val="20"/>
        </w:rPr>
        <w:t>-year trend data.</w:t>
      </w:r>
    </w:p>
    <w:p w14:paraId="17CE7627" w14:textId="77777777" w:rsidR="00E86BD6" w:rsidRDefault="00E86BD6" w:rsidP="00F66A61">
      <w:pPr>
        <w:ind w:left="180"/>
        <w:rPr>
          <w:rFonts w:ascii="Verdana" w:hAnsi="Verdana"/>
          <w:sz w:val="20"/>
        </w:rPr>
      </w:pPr>
    </w:p>
    <w:p w14:paraId="5DF57FFC" w14:textId="77777777" w:rsidR="00E86BD6" w:rsidRPr="00B9334F" w:rsidRDefault="00E86BD6" w:rsidP="00E86BD6">
      <w:pPr>
        <w:rPr>
          <w:rFonts w:ascii="Verdana" w:hAnsi="Verdana"/>
          <w:sz w:val="20"/>
        </w:rPr>
      </w:pPr>
      <w:r w:rsidRPr="00B9334F">
        <w:rPr>
          <w:rFonts w:ascii="Verdana" w:hAnsi="Verdana"/>
          <w:b/>
          <w:sz w:val="20"/>
        </w:rPr>
        <w:t>Compare Schools</w:t>
      </w:r>
      <w:r w:rsidRPr="00B9334F">
        <w:rPr>
          <w:rFonts w:ascii="Verdana" w:hAnsi="Verdana"/>
          <w:sz w:val="20"/>
        </w:rPr>
        <w:t xml:space="preserve">: </w:t>
      </w:r>
      <w:r>
        <w:rPr>
          <w:rFonts w:ascii="Verdana" w:hAnsi="Verdana"/>
          <w:sz w:val="20"/>
        </w:rPr>
        <w:t>U</w:t>
      </w:r>
      <w:r w:rsidRPr="00B9334F">
        <w:rPr>
          <w:rFonts w:ascii="Verdana" w:hAnsi="Verdana"/>
          <w:sz w:val="20"/>
        </w:rPr>
        <w:t>sers are able to compare various key performance metrics of up to four schools. This comparison includes highlights of the courses and programs offered at each school, as well as student achievement growth, class size, test achievement, district finances, student mobility, and student demographics.</w:t>
      </w:r>
    </w:p>
    <w:p w14:paraId="2E3BD751" w14:textId="77777777" w:rsidR="00E86BD6" w:rsidRPr="00B9334F" w:rsidRDefault="00E86BD6" w:rsidP="00E86BD6">
      <w:pPr>
        <w:rPr>
          <w:rFonts w:ascii="Verdana" w:hAnsi="Verdana"/>
          <w:sz w:val="20"/>
        </w:rPr>
      </w:pPr>
    </w:p>
    <w:p w14:paraId="48C00010" w14:textId="77777777" w:rsidR="00E86BD6" w:rsidRPr="00B9334F" w:rsidRDefault="00E86BD6" w:rsidP="00E86BD6">
      <w:pPr>
        <w:rPr>
          <w:rFonts w:ascii="Verdana" w:hAnsi="Verdana"/>
          <w:sz w:val="20"/>
        </w:rPr>
      </w:pPr>
      <w:r w:rsidRPr="00B9334F">
        <w:rPr>
          <w:rFonts w:ascii="Verdana" w:hAnsi="Verdana"/>
          <w:b/>
          <w:sz w:val="20"/>
        </w:rPr>
        <w:t>Achievement Gap</w:t>
      </w:r>
      <w:r>
        <w:rPr>
          <w:rFonts w:ascii="Verdana" w:hAnsi="Verdana"/>
          <w:sz w:val="20"/>
        </w:rPr>
        <w:t>: T</w:t>
      </w:r>
      <w:r w:rsidRPr="00B9334F">
        <w:rPr>
          <w:rFonts w:ascii="Verdana" w:hAnsi="Verdana"/>
          <w:sz w:val="20"/>
        </w:rPr>
        <w:t>he Compare Schools feature allows examination of achievement gaps by grade and subject. Achievement gaps include Black/White, Hispanic/White, Black/Hispanic, Low Income/Non Low Income, Male/Female, Individualized Education Program</w:t>
      </w:r>
      <w:r>
        <w:rPr>
          <w:rFonts w:ascii="Verdana" w:hAnsi="Verdana"/>
          <w:sz w:val="20"/>
        </w:rPr>
        <w:t xml:space="preserve"> (IEP</w:t>
      </w:r>
      <w:r w:rsidRPr="00B9334F">
        <w:rPr>
          <w:rFonts w:ascii="Verdana" w:hAnsi="Verdana"/>
          <w:sz w:val="20"/>
        </w:rPr>
        <w:t>)/Non IEP, and Limited English Proficiency</w:t>
      </w:r>
      <w:r>
        <w:rPr>
          <w:rFonts w:ascii="Verdana" w:hAnsi="Verdana"/>
          <w:sz w:val="20"/>
        </w:rPr>
        <w:t xml:space="preserve"> (LEP</w:t>
      </w:r>
      <w:r w:rsidRPr="00B9334F">
        <w:rPr>
          <w:rFonts w:ascii="Verdana" w:hAnsi="Verdana"/>
          <w:sz w:val="20"/>
        </w:rPr>
        <w:t>)/Non LEP.</w:t>
      </w:r>
    </w:p>
    <w:p w14:paraId="08CF4427" w14:textId="77777777" w:rsidR="00E86BD6" w:rsidRPr="00B9334F" w:rsidRDefault="00E86BD6" w:rsidP="00E86BD6">
      <w:pPr>
        <w:rPr>
          <w:rFonts w:ascii="Verdana" w:hAnsi="Verdana"/>
          <w:sz w:val="20"/>
        </w:rPr>
      </w:pPr>
    </w:p>
    <w:p w14:paraId="12763395" w14:textId="17E4EA70" w:rsidR="00E86BD6" w:rsidRDefault="00E86BD6" w:rsidP="00E86BD6">
      <w:pPr>
        <w:rPr>
          <w:rFonts w:ascii="Verdana" w:hAnsi="Verdana"/>
          <w:sz w:val="20"/>
        </w:rPr>
      </w:pPr>
      <w:r w:rsidRPr="00B9334F">
        <w:rPr>
          <w:rFonts w:ascii="Verdana" w:hAnsi="Verdana"/>
          <w:b/>
          <w:sz w:val="20"/>
        </w:rPr>
        <w:t>Advanced Comparison</w:t>
      </w:r>
      <w:r w:rsidRPr="00B9334F">
        <w:rPr>
          <w:rFonts w:ascii="Verdana" w:hAnsi="Verdana"/>
          <w:sz w:val="20"/>
        </w:rPr>
        <w:t>: Building on the capabilities of the Achievement Gap function, this feature allows comparison within a large set of student groups. Available comparison groups include income levels, race/ethnicity, LEP status, IEP status</w:t>
      </w:r>
      <w:r w:rsidR="00D42091">
        <w:rPr>
          <w:rFonts w:ascii="Verdana" w:hAnsi="Verdana"/>
          <w:sz w:val="20"/>
        </w:rPr>
        <w:t>,</w:t>
      </w:r>
      <w:r w:rsidRPr="00B9334F">
        <w:rPr>
          <w:rFonts w:ascii="Verdana" w:hAnsi="Verdana"/>
          <w:sz w:val="20"/>
        </w:rPr>
        <w:t xml:space="preserve"> and gender.</w:t>
      </w:r>
      <w:r w:rsidRPr="00B9334F">
        <w:rPr>
          <w:rFonts w:ascii="Verdana" w:hAnsi="Verdana"/>
          <w:sz w:val="20"/>
        </w:rPr>
        <w:cr/>
      </w:r>
    </w:p>
    <w:p w14:paraId="6406DFD6" w14:textId="77777777" w:rsidR="00F66A61" w:rsidRPr="00B9334F" w:rsidRDefault="00F66A61" w:rsidP="00F66A61">
      <w:pPr>
        <w:rPr>
          <w:rFonts w:ascii="Verdana" w:hAnsi="Verdana"/>
          <w:sz w:val="20"/>
        </w:rPr>
      </w:pPr>
    </w:p>
    <w:p w14:paraId="345F894B" w14:textId="74AB8EAE" w:rsidR="004E6335" w:rsidRDefault="004E6335" w:rsidP="004E6335">
      <w:pPr>
        <w:jc w:val="center"/>
        <w:rPr>
          <w:rFonts w:ascii="Verdana" w:hAnsi="Verdana"/>
          <w:b/>
          <w:sz w:val="20"/>
        </w:rPr>
      </w:pPr>
      <w:r>
        <w:rPr>
          <w:rFonts w:ascii="Verdana" w:hAnsi="Verdana"/>
          <w:b/>
          <w:sz w:val="20"/>
        </w:rPr>
        <w:t xml:space="preserve">Transition to Reporting PARCC Results </w:t>
      </w:r>
    </w:p>
    <w:p w14:paraId="47B7E3D0" w14:textId="77777777" w:rsidR="004E6335" w:rsidRDefault="004E6335" w:rsidP="004E6335">
      <w:pPr>
        <w:jc w:val="center"/>
        <w:rPr>
          <w:rFonts w:ascii="Verdana" w:hAnsi="Verdana"/>
          <w:b/>
          <w:sz w:val="20"/>
        </w:rPr>
      </w:pPr>
    </w:p>
    <w:p w14:paraId="5022D2B8" w14:textId="7611E6FB" w:rsidR="004E6335" w:rsidRPr="00E86BD6" w:rsidRDefault="00CE13CD" w:rsidP="00550381">
      <w:pPr>
        <w:rPr>
          <w:rFonts w:ascii="Verdana" w:hAnsi="Verdana"/>
          <w:sz w:val="20"/>
        </w:rPr>
      </w:pPr>
      <w:r>
        <w:rPr>
          <w:rFonts w:ascii="Verdana" w:hAnsi="Verdana"/>
          <w:sz w:val="20"/>
        </w:rPr>
        <w:t xml:space="preserve">When the 2015 Report Card is released on Oct. 30, it will </w:t>
      </w:r>
      <w:r w:rsidRPr="00CE13CD">
        <w:rPr>
          <w:rFonts w:ascii="Verdana" w:hAnsi="Verdana"/>
          <w:sz w:val="20"/>
          <w:u w:val="single"/>
        </w:rPr>
        <w:t>not</w:t>
      </w:r>
      <w:r w:rsidRPr="00CE13CD">
        <w:rPr>
          <w:rFonts w:ascii="Verdana" w:hAnsi="Verdana"/>
          <w:sz w:val="20"/>
        </w:rPr>
        <w:t xml:space="preserve"> </w:t>
      </w:r>
      <w:r>
        <w:rPr>
          <w:rFonts w:ascii="Verdana" w:hAnsi="Verdana"/>
          <w:sz w:val="20"/>
        </w:rPr>
        <w:t xml:space="preserve">include data </w:t>
      </w:r>
      <w:r w:rsidR="00E86BD6" w:rsidRPr="00E86BD6">
        <w:rPr>
          <w:rFonts w:ascii="Verdana" w:hAnsi="Verdana"/>
          <w:sz w:val="20"/>
        </w:rPr>
        <w:t>involving student academic growth and achievement</w:t>
      </w:r>
      <w:r>
        <w:rPr>
          <w:rFonts w:ascii="Verdana" w:hAnsi="Verdana"/>
          <w:sz w:val="20"/>
        </w:rPr>
        <w:t xml:space="preserve">. This data will be based on student-, school-, and district-level results from the first administration of the Partnership for Assessment of Readiness for </w:t>
      </w:r>
      <w:r w:rsidR="0094327D">
        <w:rPr>
          <w:rFonts w:ascii="Verdana" w:hAnsi="Verdana"/>
          <w:sz w:val="20"/>
        </w:rPr>
        <w:t>College and Careers (PARCC) test</w:t>
      </w:r>
      <w:r>
        <w:rPr>
          <w:rFonts w:ascii="Verdana" w:hAnsi="Verdana"/>
          <w:sz w:val="20"/>
        </w:rPr>
        <w:t>. Illinois expects to receive these scores later this fall. Once the results are available, t</w:t>
      </w:r>
      <w:r w:rsidR="00E86BD6" w:rsidRPr="00E86BD6">
        <w:rPr>
          <w:rFonts w:ascii="Verdana" w:hAnsi="Verdana"/>
          <w:sz w:val="20"/>
        </w:rPr>
        <w:t xml:space="preserve">he Report Card will be updated with district- and school-level data later this school year. </w:t>
      </w:r>
      <w:r w:rsidR="00550381">
        <w:rPr>
          <w:rFonts w:ascii="Verdana" w:hAnsi="Verdana"/>
          <w:sz w:val="20"/>
        </w:rPr>
        <w:t xml:space="preserve">Educators, </w:t>
      </w:r>
      <w:r w:rsidR="00E86BD6" w:rsidRPr="00E86BD6">
        <w:rPr>
          <w:rFonts w:ascii="Verdana" w:hAnsi="Verdana"/>
          <w:sz w:val="20"/>
        </w:rPr>
        <w:t>parents</w:t>
      </w:r>
      <w:r w:rsidR="00550381">
        <w:rPr>
          <w:rFonts w:ascii="Verdana" w:hAnsi="Verdana"/>
          <w:sz w:val="20"/>
        </w:rPr>
        <w:t>,</w:t>
      </w:r>
      <w:r w:rsidR="00E86BD6" w:rsidRPr="00E86BD6">
        <w:rPr>
          <w:rFonts w:ascii="Verdana" w:hAnsi="Verdana"/>
          <w:sz w:val="20"/>
        </w:rPr>
        <w:t xml:space="preserve"> and community members will be able to see how many students performed at each of the</w:t>
      </w:r>
      <w:r w:rsidR="0094327D">
        <w:rPr>
          <w:rFonts w:ascii="Verdana" w:hAnsi="Verdana"/>
          <w:sz w:val="20"/>
        </w:rPr>
        <w:t xml:space="preserve"> PARCC test</w:t>
      </w:r>
      <w:r w:rsidR="00550381">
        <w:rPr>
          <w:rFonts w:ascii="Verdana" w:hAnsi="Verdana"/>
          <w:sz w:val="20"/>
        </w:rPr>
        <w:t>’s</w:t>
      </w:r>
      <w:r w:rsidR="00E86BD6" w:rsidRPr="00E86BD6">
        <w:rPr>
          <w:rFonts w:ascii="Verdana" w:hAnsi="Verdana"/>
          <w:sz w:val="20"/>
        </w:rPr>
        <w:t xml:space="preserve"> five performance levels in English language arts and math by grade level in elementary school and by course level in high school. PARCC results will be represented on the Report Card separately from the </w:t>
      </w:r>
      <w:r w:rsidR="00550381">
        <w:rPr>
          <w:rFonts w:ascii="Verdana" w:hAnsi="Verdana"/>
          <w:sz w:val="20"/>
        </w:rPr>
        <w:t xml:space="preserve">data from </w:t>
      </w:r>
      <w:r w:rsidR="00E86BD6" w:rsidRPr="00E86BD6">
        <w:rPr>
          <w:rFonts w:ascii="Verdana" w:hAnsi="Verdana"/>
          <w:sz w:val="20"/>
        </w:rPr>
        <w:t>previous</w:t>
      </w:r>
      <w:r w:rsidR="00550381">
        <w:rPr>
          <w:rFonts w:ascii="Verdana" w:hAnsi="Verdana"/>
          <w:sz w:val="20"/>
        </w:rPr>
        <w:t xml:space="preserve"> statewide assessments, the Illinois Standards Achievement Test </w:t>
      </w:r>
      <w:r w:rsidR="00E86BD6" w:rsidRPr="00E86BD6">
        <w:rPr>
          <w:rFonts w:ascii="Verdana" w:hAnsi="Verdana"/>
          <w:sz w:val="20"/>
        </w:rPr>
        <w:t>and</w:t>
      </w:r>
      <w:r w:rsidR="00550381">
        <w:rPr>
          <w:rFonts w:ascii="Verdana" w:hAnsi="Verdana"/>
          <w:sz w:val="20"/>
        </w:rPr>
        <w:t xml:space="preserve"> the Prair</w:t>
      </w:r>
      <w:r w:rsidR="004C1DDA">
        <w:rPr>
          <w:rFonts w:ascii="Verdana" w:hAnsi="Verdana"/>
          <w:sz w:val="20"/>
        </w:rPr>
        <w:t>ie State Achievement Exam</w:t>
      </w:r>
      <w:r w:rsidR="00E86BD6" w:rsidRPr="00E86BD6">
        <w:rPr>
          <w:rFonts w:ascii="Verdana" w:hAnsi="Verdana"/>
          <w:sz w:val="20"/>
        </w:rPr>
        <w:t xml:space="preserve">. The 2015 PARCC scores </w:t>
      </w:r>
      <w:r w:rsidR="00550381">
        <w:rPr>
          <w:rFonts w:ascii="Verdana" w:hAnsi="Verdana"/>
          <w:sz w:val="20"/>
        </w:rPr>
        <w:t xml:space="preserve">will </w:t>
      </w:r>
      <w:r w:rsidR="00631BD6">
        <w:rPr>
          <w:rFonts w:ascii="Verdana" w:hAnsi="Verdana"/>
          <w:sz w:val="20"/>
        </w:rPr>
        <w:t xml:space="preserve">provide a </w:t>
      </w:r>
      <w:r w:rsidR="00E86BD6" w:rsidRPr="00E86BD6">
        <w:rPr>
          <w:rFonts w:ascii="Verdana" w:hAnsi="Verdana"/>
          <w:sz w:val="20"/>
        </w:rPr>
        <w:t xml:space="preserve">new baseline for measuring student progress moving forward. </w:t>
      </w:r>
    </w:p>
    <w:p w14:paraId="2FE05750" w14:textId="24DCE9B1" w:rsidR="00F66A61" w:rsidRDefault="00F66A61" w:rsidP="00F66A61">
      <w:pPr>
        <w:rPr>
          <w:rFonts w:ascii="Verdana" w:hAnsi="Verdana"/>
          <w:sz w:val="20"/>
        </w:rPr>
      </w:pPr>
    </w:p>
    <w:p w14:paraId="64A80C19" w14:textId="77777777" w:rsidR="001B5D2C" w:rsidRDefault="001B5D2C" w:rsidP="006A2979">
      <w:pPr>
        <w:pStyle w:val="Default"/>
        <w:spacing w:before="0" w:line="240" w:lineRule="auto"/>
      </w:pPr>
    </w:p>
    <w:p w14:paraId="1DE51644" w14:textId="77777777" w:rsidR="002505E8" w:rsidRPr="006A2979" w:rsidRDefault="002505E8" w:rsidP="006A2979">
      <w:pPr>
        <w:pStyle w:val="Default"/>
        <w:spacing w:before="0" w:line="240" w:lineRule="auto"/>
      </w:pPr>
    </w:p>
    <w:p w14:paraId="115E2CCD" w14:textId="77777777" w:rsidR="00BF6A1E" w:rsidRDefault="00BF6A1E" w:rsidP="00CC3728">
      <w:pPr>
        <w:pStyle w:val="Default"/>
      </w:pPr>
    </w:p>
    <w:p w14:paraId="2E23132C" w14:textId="77777777" w:rsidR="006939D8" w:rsidRPr="000978B5" w:rsidRDefault="006939D8" w:rsidP="000978B5">
      <w:pPr>
        <w:pStyle w:val="Default"/>
        <w:spacing w:before="0" w:line="240" w:lineRule="auto"/>
        <w:rPr>
          <w:sz w:val="23"/>
          <w:szCs w:val="23"/>
        </w:rPr>
      </w:pPr>
    </w:p>
    <w:sectPr w:rsidR="006939D8" w:rsidRPr="000978B5" w:rsidSect="008B629C">
      <w:type w:val="continuous"/>
      <w:pgSz w:w="12240" w:h="15840"/>
      <w:pgMar w:top="1152"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85F25" w14:textId="77777777" w:rsidR="00AD09A0" w:rsidRDefault="00AD09A0">
      <w:r>
        <w:separator/>
      </w:r>
    </w:p>
  </w:endnote>
  <w:endnote w:type="continuationSeparator" w:id="0">
    <w:p w14:paraId="71F03AE7" w14:textId="77777777" w:rsidR="00AD09A0" w:rsidRDefault="00AD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DD18" w14:textId="77777777" w:rsidR="00AD09A0" w:rsidRDefault="00AD09A0">
      <w:r>
        <w:separator/>
      </w:r>
    </w:p>
  </w:footnote>
  <w:footnote w:type="continuationSeparator" w:id="0">
    <w:p w14:paraId="5E23C611" w14:textId="77777777" w:rsidR="00AD09A0" w:rsidRDefault="00AD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4B"/>
    <w:multiLevelType w:val="hybridMultilevel"/>
    <w:tmpl w:val="53EC1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F849134">
      <w:start w:val="1"/>
      <w:numFmt w:val="bullet"/>
      <w:lvlText w:val="&gt;"/>
      <w:lvlJc w:val="left"/>
      <w:pPr>
        <w:ind w:left="2520" w:hanging="360"/>
      </w:pPr>
      <w:rPr>
        <w:rFonts w:ascii="Stencil" w:hAnsi="Stenci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5129D"/>
    <w:multiLevelType w:val="hybridMultilevel"/>
    <w:tmpl w:val="388E2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05B348C4"/>
    <w:multiLevelType w:val="hybridMultilevel"/>
    <w:tmpl w:val="A3D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28EB"/>
    <w:multiLevelType w:val="hybridMultilevel"/>
    <w:tmpl w:val="CEA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D2D7E"/>
    <w:multiLevelType w:val="hybridMultilevel"/>
    <w:tmpl w:val="FEE0A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B1505E"/>
    <w:multiLevelType w:val="hybridMultilevel"/>
    <w:tmpl w:val="C98A53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F849134">
      <w:start w:val="1"/>
      <w:numFmt w:val="bullet"/>
      <w:lvlText w:val="&gt;"/>
      <w:lvlJc w:val="left"/>
      <w:pPr>
        <w:ind w:left="2520" w:hanging="360"/>
      </w:pPr>
      <w:rPr>
        <w:rFonts w:ascii="Stencil" w:hAnsi="Stenci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516BB"/>
    <w:multiLevelType w:val="hybridMultilevel"/>
    <w:tmpl w:val="51FCBE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F849134">
      <w:start w:val="1"/>
      <w:numFmt w:val="bullet"/>
      <w:lvlText w:val="&gt;"/>
      <w:lvlJc w:val="left"/>
      <w:pPr>
        <w:ind w:left="2520" w:hanging="360"/>
      </w:pPr>
      <w:rPr>
        <w:rFonts w:ascii="Stencil" w:hAnsi="Stenci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4D4245"/>
    <w:multiLevelType w:val="hybridMultilevel"/>
    <w:tmpl w:val="079671C6"/>
    <w:lvl w:ilvl="0" w:tplc="3C9E031E">
      <w:start w:val="1"/>
      <w:numFmt w:val="bullet"/>
      <w:lvlText w:val="•"/>
      <w:lvlJc w:val="left"/>
      <w:pPr>
        <w:tabs>
          <w:tab w:val="num" w:pos="720"/>
        </w:tabs>
        <w:ind w:left="720" w:hanging="360"/>
      </w:pPr>
      <w:rPr>
        <w:rFonts w:ascii="Times New Roman" w:hAnsi="Times New Roman" w:hint="default"/>
      </w:rPr>
    </w:lvl>
    <w:lvl w:ilvl="1" w:tplc="F2262C2E" w:tentative="1">
      <w:start w:val="1"/>
      <w:numFmt w:val="bullet"/>
      <w:lvlText w:val="•"/>
      <w:lvlJc w:val="left"/>
      <w:pPr>
        <w:tabs>
          <w:tab w:val="num" w:pos="1440"/>
        </w:tabs>
        <w:ind w:left="1440" w:hanging="360"/>
      </w:pPr>
      <w:rPr>
        <w:rFonts w:ascii="Times New Roman" w:hAnsi="Times New Roman" w:hint="default"/>
      </w:rPr>
    </w:lvl>
    <w:lvl w:ilvl="2" w:tplc="5D8AE242" w:tentative="1">
      <w:start w:val="1"/>
      <w:numFmt w:val="bullet"/>
      <w:lvlText w:val="•"/>
      <w:lvlJc w:val="left"/>
      <w:pPr>
        <w:tabs>
          <w:tab w:val="num" w:pos="2160"/>
        </w:tabs>
        <w:ind w:left="2160" w:hanging="360"/>
      </w:pPr>
      <w:rPr>
        <w:rFonts w:ascii="Times New Roman" w:hAnsi="Times New Roman" w:hint="default"/>
      </w:rPr>
    </w:lvl>
    <w:lvl w:ilvl="3" w:tplc="B920B66C" w:tentative="1">
      <w:start w:val="1"/>
      <w:numFmt w:val="bullet"/>
      <w:lvlText w:val="•"/>
      <w:lvlJc w:val="left"/>
      <w:pPr>
        <w:tabs>
          <w:tab w:val="num" w:pos="2880"/>
        </w:tabs>
        <w:ind w:left="2880" w:hanging="360"/>
      </w:pPr>
      <w:rPr>
        <w:rFonts w:ascii="Times New Roman" w:hAnsi="Times New Roman" w:hint="default"/>
      </w:rPr>
    </w:lvl>
    <w:lvl w:ilvl="4" w:tplc="F97E04A8" w:tentative="1">
      <w:start w:val="1"/>
      <w:numFmt w:val="bullet"/>
      <w:lvlText w:val="•"/>
      <w:lvlJc w:val="left"/>
      <w:pPr>
        <w:tabs>
          <w:tab w:val="num" w:pos="3600"/>
        </w:tabs>
        <w:ind w:left="3600" w:hanging="360"/>
      </w:pPr>
      <w:rPr>
        <w:rFonts w:ascii="Times New Roman" w:hAnsi="Times New Roman" w:hint="default"/>
      </w:rPr>
    </w:lvl>
    <w:lvl w:ilvl="5" w:tplc="04685D60" w:tentative="1">
      <w:start w:val="1"/>
      <w:numFmt w:val="bullet"/>
      <w:lvlText w:val="•"/>
      <w:lvlJc w:val="left"/>
      <w:pPr>
        <w:tabs>
          <w:tab w:val="num" w:pos="4320"/>
        </w:tabs>
        <w:ind w:left="4320" w:hanging="360"/>
      </w:pPr>
      <w:rPr>
        <w:rFonts w:ascii="Times New Roman" w:hAnsi="Times New Roman" w:hint="default"/>
      </w:rPr>
    </w:lvl>
    <w:lvl w:ilvl="6" w:tplc="B306795E" w:tentative="1">
      <w:start w:val="1"/>
      <w:numFmt w:val="bullet"/>
      <w:lvlText w:val="•"/>
      <w:lvlJc w:val="left"/>
      <w:pPr>
        <w:tabs>
          <w:tab w:val="num" w:pos="5040"/>
        </w:tabs>
        <w:ind w:left="5040" w:hanging="360"/>
      </w:pPr>
      <w:rPr>
        <w:rFonts w:ascii="Times New Roman" w:hAnsi="Times New Roman" w:hint="default"/>
      </w:rPr>
    </w:lvl>
    <w:lvl w:ilvl="7" w:tplc="72D02BFA" w:tentative="1">
      <w:start w:val="1"/>
      <w:numFmt w:val="bullet"/>
      <w:lvlText w:val="•"/>
      <w:lvlJc w:val="left"/>
      <w:pPr>
        <w:tabs>
          <w:tab w:val="num" w:pos="5760"/>
        </w:tabs>
        <w:ind w:left="5760" w:hanging="360"/>
      </w:pPr>
      <w:rPr>
        <w:rFonts w:ascii="Times New Roman" w:hAnsi="Times New Roman" w:hint="default"/>
      </w:rPr>
    </w:lvl>
    <w:lvl w:ilvl="8" w:tplc="8DA800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B0158B"/>
    <w:multiLevelType w:val="multilevel"/>
    <w:tmpl w:val="30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B0FEA"/>
    <w:multiLevelType w:val="hybridMultilevel"/>
    <w:tmpl w:val="7D4A1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15F39"/>
    <w:multiLevelType w:val="hybridMultilevel"/>
    <w:tmpl w:val="9A1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22789"/>
    <w:multiLevelType w:val="hybridMultilevel"/>
    <w:tmpl w:val="DE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0009D"/>
    <w:multiLevelType w:val="hybridMultilevel"/>
    <w:tmpl w:val="4F96A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A3A95"/>
    <w:multiLevelType w:val="hybridMultilevel"/>
    <w:tmpl w:val="86EC9E20"/>
    <w:lvl w:ilvl="0" w:tplc="BC2EE3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33708"/>
    <w:multiLevelType w:val="hybridMultilevel"/>
    <w:tmpl w:val="E1729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30062F"/>
    <w:multiLevelType w:val="hybridMultilevel"/>
    <w:tmpl w:val="C67AC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B1283"/>
    <w:multiLevelType w:val="hybridMultilevel"/>
    <w:tmpl w:val="BE2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12A25"/>
    <w:multiLevelType w:val="hybridMultilevel"/>
    <w:tmpl w:val="11A67492"/>
    <w:lvl w:ilvl="0" w:tplc="83864ECA">
      <w:start w:val="1"/>
      <w:numFmt w:val="bullet"/>
      <w:lvlText w:val="•"/>
      <w:lvlJc w:val="left"/>
      <w:pPr>
        <w:tabs>
          <w:tab w:val="num" w:pos="720"/>
        </w:tabs>
        <w:ind w:left="720" w:hanging="360"/>
      </w:pPr>
      <w:rPr>
        <w:rFonts w:ascii="Times New Roman" w:hAnsi="Times New Roman" w:hint="default"/>
      </w:rPr>
    </w:lvl>
    <w:lvl w:ilvl="1" w:tplc="231C5FA2" w:tentative="1">
      <w:start w:val="1"/>
      <w:numFmt w:val="bullet"/>
      <w:lvlText w:val="•"/>
      <w:lvlJc w:val="left"/>
      <w:pPr>
        <w:tabs>
          <w:tab w:val="num" w:pos="1440"/>
        </w:tabs>
        <w:ind w:left="1440" w:hanging="360"/>
      </w:pPr>
      <w:rPr>
        <w:rFonts w:ascii="Times New Roman" w:hAnsi="Times New Roman" w:hint="default"/>
      </w:rPr>
    </w:lvl>
    <w:lvl w:ilvl="2" w:tplc="4A0E7034" w:tentative="1">
      <w:start w:val="1"/>
      <w:numFmt w:val="bullet"/>
      <w:lvlText w:val="•"/>
      <w:lvlJc w:val="left"/>
      <w:pPr>
        <w:tabs>
          <w:tab w:val="num" w:pos="2160"/>
        </w:tabs>
        <w:ind w:left="2160" w:hanging="360"/>
      </w:pPr>
      <w:rPr>
        <w:rFonts w:ascii="Times New Roman" w:hAnsi="Times New Roman" w:hint="default"/>
      </w:rPr>
    </w:lvl>
    <w:lvl w:ilvl="3" w:tplc="F4784FCC" w:tentative="1">
      <w:start w:val="1"/>
      <w:numFmt w:val="bullet"/>
      <w:lvlText w:val="•"/>
      <w:lvlJc w:val="left"/>
      <w:pPr>
        <w:tabs>
          <w:tab w:val="num" w:pos="2880"/>
        </w:tabs>
        <w:ind w:left="2880" w:hanging="360"/>
      </w:pPr>
      <w:rPr>
        <w:rFonts w:ascii="Times New Roman" w:hAnsi="Times New Roman" w:hint="default"/>
      </w:rPr>
    </w:lvl>
    <w:lvl w:ilvl="4" w:tplc="C3AAFC0E" w:tentative="1">
      <w:start w:val="1"/>
      <w:numFmt w:val="bullet"/>
      <w:lvlText w:val="•"/>
      <w:lvlJc w:val="left"/>
      <w:pPr>
        <w:tabs>
          <w:tab w:val="num" w:pos="3600"/>
        </w:tabs>
        <w:ind w:left="3600" w:hanging="360"/>
      </w:pPr>
      <w:rPr>
        <w:rFonts w:ascii="Times New Roman" w:hAnsi="Times New Roman" w:hint="default"/>
      </w:rPr>
    </w:lvl>
    <w:lvl w:ilvl="5" w:tplc="2F426214" w:tentative="1">
      <w:start w:val="1"/>
      <w:numFmt w:val="bullet"/>
      <w:lvlText w:val="•"/>
      <w:lvlJc w:val="left"/>
      <w:pPr>
        <w:tabs>
          <w:tab w:val="num" w:pos="4320"/>
        </w:tabs>
        <w:ind w:left="4320" w:hanging="360"/>
      </w:pPr>
      <w:rPr>
        <w:rFonts w:ascii="Times New Roman" w:hAnsi="Times New Roman" w:hint="default"/>
      </w:rPr>
    </w:lvl>
    <w:lvl w:ilvl="6" w:tplc="07C68EEA" w:tentative="1">
      <w:start w:val="1"/>
      <w:numFmt w:val="bullet"/>
      <w:lvlText w:val="•"/>
      <w:lvlJc w:val="left"/>
      <w:pPr>
        <w:tabs>
          <w:tab w:val="num" w:pos="5040"/>
        </w:tabs>
        <w:ind w:left="5040" w:hanging="360"/>
      </w:pPr>
      <w:rPr>
        <w:rFonts w:ascii="Times New Roman" w:hAnsi="Times New Roman" w:hint="default"/>
      </w:rPr>
    </w:lvl>
    <w:lvl w:ilvl="7" w:tplc="2CDAEAE4" w:tentative="1">
      <w:start w:val="1"/>
      <w:numFmt w:val="bullet"/>
      <w:lvlText w:val="•"/>
      <w:lvlJc w:val="left"/>
      <w:pPr>
        <w:tabs>
          <w:tab w:val="num" w:pos="5760"/>
        </w:tabs>
        <w:ind w:left="5760" w:hanging="360"/>
      </w:pPr>
      <w:rPr>
        <w:rFonts w:ascii="Times New Roman" w:hAnsi="Times New Roman" w:hint="default"/>
      </w:rPr>
    </w:lvl>
    <w:lvl w:ilvl="8" w:tplc="E52C5B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2720D8"/>
    <w:multiLevelType w:val="hybridMultilevel"/>
    <w:tmpl w:val="668EB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052180"/>
    <w:multiLevelType w:val="hybridMultilevel"/>
    <w:tmpl w:val="E26020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A7C09"/>
    <w:multiLevelType w:val="hybridMultilevel"/>
    <w:tmpl w:val="8B746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2552B"/>
    <w:multiLevelType w:val="hybridMultilevel"/>
    <w:tmpl w:val="49C80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95F62"/>
    <w:multiLevelType w:val="hybridMultilevel"/>
    <w:tmpl w:val="0650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D7A85"/>
    <w:multiLevelType w:val="hybridMultilevel"/>
    <w:tmpl w:val="233A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520ED8"/>
    <w:multiLevelType w:val="hybridMultilevel"/>
    <w:tmpl w:val="4EFE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2A5A40"/>
    <w:multiLevelType w:val="hybridMultilevel"/>
    <w:tmpl w:val="27E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552E7"/>
    <w:multiLevelType w:val="hybridMultilevel"/>
    <w:tmpl w:val="466C2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008F1"/>
    <w:multiLevelType w:val="hybridMultilevel"/>
    <w:tmpl w:val="4EC2DCE2"/>
    <w:lvl w:ilvl="0" w:tplc="8ED64E5A">
      <w:start w:val="1"/>
      <w:numFmt w:val="bullet"/>
      <w:lvlText w:val="•"/>
      <w:lvlJc w:val="left"/>
      <w:pPr>
        <w:tabs>
          <w:tab w:val="num" w:pos="720"/>
        </w:tabs>
        <w:ind w:left="720" w:hanging="360"/>
      </w:pPr>
      <w:rPr>
        <w:rFonts w:ascii="Times New Roman" w:hAnsi="Times New Roman" w:hint="default"/>
      </w:rPr>
    </w:lvl>
    <w:lvl w:ilvl="1" w:tplc="35BAA6BA" w:tentative="1">
      <w:start w:val="1"/>
      <w:numFmt w:val="bullet"/>
      <w:lvlText w:val="•"/>
      <w:lvlJc w:val="left"/>
      <w:pPr>
        <w:tabs>
          <w:tab w:val="num" w:pos="1440"/>
        </w:tabs>
        <w:ind w:left="1440" w:hanging="360"/>
      </w:pPr>
      <w:rPr>
        <w:rFonts w:ascii="Times New Roman" w:hAnsi="Times New Roman" w:hint="default"/>
      </w:rPr>
    </w:lvl>
    <w:lvl w:ilvl="2" w:tplc="9C46C472" w:tentative="1">
      <w:start w:val="1"/>
      <w:numFmt w:val="bullet"/>
      <w:lvlText w:val="•"/>
      <w:lvlJc w:val="left"/>
      <w:pPr>
        <w:tabs>
          <w:tab w:val="num" w:pos="2160"/>
        </w:tabs>
        <w:ind w:left="2160" w:hanging="360"/>
      </w:pPr>
      <w:rPr>
        <w:rFonts w:ascii="Times New Roman" w:hAnsi="Times New Roman" w:hint="default"/>
      </w:rPr>
    </w:lvl>
    <w:lvl w:ilvl="3" w:tplc="E980804A" w:tentative="1">
      <w:start w:val="1"/>
      <w:numFmt w:val="bullet"/>
      <w:lvlText w:val="•"/>
      <w:lvlJc w:val="left"/>
      <w:pPr>
        <w:tabs>
          <w:tab w:val="num" w:pos="2880"/>
        </w:tabs>
        <w:ind w:left="2880" w:hanging="360"/>
      </w:pPr>
      <w:rPr>
        <w:rFonts w:ascii="Times New Roman" w:hAnsi="Times New Roman" w:hint="default"/>
      </w:rPr>
    </w:lvl>
    <w:lvl w:ilvl="4" w:tplc="03DECFB4" w:tentative="1">
      <w:start w:val="1"/>
      <w:numFmt w:val="bullet"/>
      <w:lvlText w:val="•"/>
      <w:lvlJc w:val="left"/>
      <w:pPr>
        <w:tabs>
          <w:tab w:val="num" w:pos="3600"/>
        </w:tabs>
        <w:ind w:left="3600" w:hanging="360"/>
      </w:pPr>
      <w:rPr>
        <w:rFonts w:ascii="Times New Roman" w:hAnsi="Times New Roman" w:hint="default"/>
      </w:rPr>
    </w:lvl>
    <w:lvl w:ilvl="5" w:tplc="CA36FD54" w:tentative="1">
      <w:start w:val="1"/>
      <w:numFmt w:val="bullet"/>
      <w:lvlText w:val="•"/>
      <w:lvlJc w:val="left"/>
      <w:pPr>
        <w:tabs>
          <w:tab w:val="num" w:pos="4320"/>
        </w:tabs>
        <w:ind w:left="4320" w:hanging="360"/>
      </w:pPr>
      <w:rPr>
        <w:rFonts w:ascii="Times New Roman" w:hAnsi="Times New Roman" w:hint="default"/>
      </w:rPr>
    </w:lvl>
    <w:lvl w:ilvl="6" w:tplc="33A83616" w:tentative="1">
      <w:start w:val="1"/>
      <w:numFmt w:val="bullet"/>
      <w:lvlText w:val="•"/>
      <w:lvlJc w:val="left"/>
      <w:pPr>
        <w:tabs>
          <w:tab w:val="num" w:pos="5040"/>
        </w:tabs>
        <w:ind w:left="5040" w:hanging="360"/>
      </w:pPr>
      <w:rPr>
        <w:rFonts w:ascii="Times New Roman" w:hAnsi="Times New Roman" w:hint="default"/>
      </w:rPr>
    </w:lvl>
    <w:lvl w:ilvl="7" w:tplc="36DC16C2" w:tentative="1">
      <w:start w:val="1"/>
      <w:numFmt w:val="bullet"/>
      <w:lvlText w:val="•"/>
      <w:lvlJc w:val="left"/>
      <w:pPr>
        <w:tabs>
          <w:tab w:val="num" w:pos="5760"/>
        </w:tabs>
        <w:ind w:left="5760" w:hanging="360"/>
      </w:pPr>
      <w:rPr>
        <w:rFonts w:ascii="Times New Roman" w:hAnsi="Times New Roman" w:hint="default"/>
      </w:rPr>
    </w:lvl>
    <w:lvl w:ilvl="8" w:tplc="93C682F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87400A"/>
    <w:multiLevelType w:val="hybridMultilevel"/>
    <w:tmpl w:val="1E4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13D21"/>
    <w:multiLevelType w:val="hybridMultilevel"/>
    <w:tmpl w:val="C574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146E2"/>
    <w:multiLevelType w:val="hybridMultilevel"/>
    <w:tmpl w:val="1D824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C1E60"/>
    <w:multiLevelType w:val="hybridMultilevel"/>
    <w:tmpl w:val="E92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F554B"/>
    <w:multiLevelType w:val="hybridMultilevel"/>
    <w:tmpl w:val="CCF0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6F6EC1"/>
    <w:multiLevelType w:val="hybridMultilevel"/>
    <w:tmpl w:val="42866B72"/>
    <w:lvl w:ilvl="0" w:tplc="4CBACFC6">
      <w:start w:val="1"/>
      <w:numFmt w:val="bullet"/>
      <w:lvlText w:val="•"/>
      <w:lvlJc w:val="left"/>
      <w:pPr>
        <w:tabs>
          <w:tab w:val="num" w:pos="720"/>
        </w:tabs>
        <w:ind w:left="720" w:hanging="360"/>
      </w:pPr>
      <w:rPr>
        <w:rFonts w:ascii="Times New Roman" w:hAnsi="Times New Roman" w:hint="default"/>
      </w:rPr>
    </w:lvl>
    <w:lvl w:ilvl="1" w:tplc="5C28ED90" w:tentative="1">
      <w:start w:val="1"/>
      <w:numFmt w:val="bullet"/>
      <w:lvlText w:val="•"/>
      <w:lvlJc w:val="left"/>
      <w:pPr>
        <w:tabs>
          <w:tab w:val="num" w:pos="1440"/>
        </w:tabs>
        <w:ind w:left="1440" w:hanging="360"/>
      </w:pPr>
      <w:rPr>
        <w:rFonts w:ascii="Times New Roman" w:hAnsi="Times New Roman" w:hint="default"/>
      </w:rPr>
    </w:lvl>
    <w:lvl w:ilvl="2" w:tplc="46D48F84" w:tentative="1">
      <w:start w:val="1"/>
      <w:numFmt w:val="bullet"/>
      <w:lvlText w:val="•"/>
      <w:lvlJc w:val="left"/>
      <w:pPr>
        <w:tabs>
          <w:tab w:val="num" w:pos="2160"/>
        </w:tabs>
        <w:ind w:left="2160" w:hanging="360"/>
      </w:pPr>
      <w:rPr>
        <w:rFonts w:ascii="Times New Roman" w:hAnsi="Times New Roman" w:hint="default"/>
      </w:rPr>
    </w:lvl>
    <w:lvl w:ilvl="3" w:tplc="443AE5F4" w:tentative="1">
      <w:start w:val="1"/>
      <w:numFmt w:val="bullet"/>
      <w:lvlText w:val="•"/>
      <w:lvlJc w:val="left"/>
      <w:pPr>
        <w:tabs>
          <w:tab w:val="num" w:pos="2880"/>
        </w:tabs>
        <w:ind w:left="2880" w:hanging="360"/>
      </w:pPr>
      <w:rPr>
        <w:rFonts w:ascii="Times New Roman" w:hAnsi="Times New Roman" w:hint="default"/>
      </w:rPr>
    </w:lvl>
    <w:lvl w:ilvl="4" w:tplc="4CDAB49C" w:tentative="1">
      <w:start w:val="1"/>
      <w:numFmt w:val="bullet"/>
      <w:lvlText w:val="•"/>
      <w:lvlJc w:val="left"/>
      <w:pPr>
        <w:tabs>
          <w:tab w:val="num" w:pos="3600"/>
        </w:tabs>
        <w:ind w:left="3600" w:hanging="360"/>
      </w:pPr>
      <w:rPr>
        <w:rFonts w:ascii="Times New Roman" w:hAnsi="Times New Roman" w:hint="default"/>
      </w:rPr>
    </w:lvl>
    <w:lvl w:ilvl="5" w:tplc="5AB64D82" w:tentative="1">
      <w:start w:val="1"/>
      <w:numFmt w:val="bullet"/>
      <w:lvlText w:val="•"/>
      <w:lvlJc w:val="left"/>
      <w:pPr>
        <w:tabs>
          <w:tab w:val="num" w:pos="4320"/>
        </w:tabs>
        <w:ind w:left="4320" w:hanging="360"/>
      </w:pPr>
      <w:rPr>
        <w:rFonts w:ascii="Times New Roman" w:hAnsi="Times New Roman" w:hint="default"/>
      </w:rPr>
    </w:lvl>
    <w:lvl w:ilvl="6" w:tplc="C2387196" w:tentative="1">
      <w:start w:val="1"/>
      <w:numFmt w:val="bullet"/>
      <w:lvlText w:val="•"/>
      <w:lvlJc w:val="left"/>
      <w:pPr>
        <w:tabs>
          <w:tab w:val="num" w:pos="5040"/>
        </w:tabs>
        <w:ind w:left="5040" w:hanging="360"/>
      </w:pPr>
      <w:rPr>
        <w:rFonts w:ascii="Times New Roman" w:hAnsi="Times New Roman" w:hint="default"/>
      </w:rPr>
    </w:lvl>
    <w:lvl w:ilvl="7" w:tplc="FAE00644" w:tentative="1">
      <w:start w:val="1"/>
      <w:numFmt w:val="bullet"/>
      <w:lvlText w:val="•"/>
      <w:lvlJc w:val="left"/>
      <w:pPr>
        <w:tabs>
          <w:tab w:val="num" w:pos="5760"/>
        </w:tabs>
        <w:ind w:left="5760" w:hanging="360"/>
      </w:pPr>
      <w:rPr>
        <w:rFonts w:ascii="Times New Roman" w:hAnsi="Times New Roman" w:hint="default"/>
      </w:rPr>
    </w:lvl>
    <w:lvl w:ilvl="8" w:tplc="C18CB73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462784"/>
    <w:multiLevelType w:val="hybridMultilevel"/>
    <w:tmpl w:val="4A5621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F849134">
      <w:start w:val="1"/>
      <w:numFmt w:val="bullet"/>
      <w:lvlText w:val="&gt;"/>
      <w:lvlJc w:val="left"/>
      <w:pPr>
        <w:ind w:left="2520" w:hanging="360"/>
      </w:pPr>
      <w:rPr>
        <w:rFonts w:ascii="Stencil" w:hAnsi="Stenci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543364"/>
    <w:multiLevelType w:val="hybridMultilevel"/>
    <w:tmpl w:val="842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E0CC7"/>
    <w:multiLevelType w:val="multilevel"/>
    <w:tmpl w:val="AB44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21E51A2"/>
    <w:multiLevelType w:val="hybridMultilevel"/>
    <w:tmpl w:val="09C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F6C01"/>
    <w:multiLevelType w:val="hybridMultilevel"/>
    <w:tmpl w:val="FFC4A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F5502B"/>
    <w:multiLevelType w:val="hybridMultilevel"/>
    <w:tmpl w:val="D688B45C"/>
    <w:lvl w:ilvl="0" w:tplc="F5CE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4181A"/>
    <w:multiLevelType w:val="hybridMultilevel"/>
    <w:tmpl w:val="AC4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223A2"/>
    <w:multiLevelType w:val="hybridMultilevel"/>
    <w:tmpl w:val="8CA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A5F16"/>
    <w:multiLevelType w:val="hybridMultilevel"/>
    <w:tmpl w:val="2FFA0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74306"/>
    <w:multiLevelType w:val="hybridMultilevel"/>
    <w:tmpl w:val="F36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933FC"/>
    <w:multiLevelType w:val="hybridMultilevel"/>
    <w:tmpl w:val="EEF4A1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0F55B1"/>
    <w:multiLevelType w:val="hybridMultilevel"/>
    <w:tmpl w:val="67FA6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776639"/>
    <w:multiLevelType w:val="hybridMultilevel"/>
    <w:tmpl w:val="D58AAB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2"/>
  </w:num>
  <w:num w:numId="3">
    <w:abstractNumId w:val="16"/>
  </w:num>
  <w:num w:numId="4">
    <w:abstractNumId w:val="10"/>
  </w:num>
  <w:num w:numId="5">
    <w:abstractNumId w:val="13"/>
  </w:num>
  <w:num w:numId="6">
    <w:abstractNumId w:val="21"/>
  </w:num>
  <w:num w:numId="7">
    <w:abstractNumId w:val="45"/>
  </w:num>
  <w:num w:numId="8">
    <w:abstractNumId w:val="39"/>
  </w:num>
  <w:num w:numId="9">
    <w:abstractNumId w:val="4"/>
  </w:num>
  <w:num w:numId="10">
    <w:abstractNumId w:val="43"/>
  </w:num>
  <w:num w:numId="11">
    <w:abstractNumId w:val="14"/>
  </w:num>
  <w:num w:numId="12">
    <w:abstractNumId w:val="11"/>
  </w:num>
  <w:num w:numId="13">
    <w:abstractNumId w:val="9"/>
  </w:num>
  <w:num w:numId="14">
    <w:abstractNumId w:val="44"/>
  </w:num>
  <w:num w:numId="15">
    <w:abstractNumId w:val="12"/>
  </w:num>
  <w:num w:numId="16">
    <w:abstractNumId w:val="8"/>
  </w:num>
  <w:num w:numId="17">
    <w:abstractNumId w:val="36"/>
  </w:num>
  <w:num w:numId="18">
    <w:abstractNumId w:val="35"/>
  </w:num>
  <w:num w:numId="19">
    <w:abstractNumId w:val="18"/>
  </w:num>
  <w:num w:numId="20">
    <w:abstractNumId w:val="25"/>
  </w:num>
  <w:num w:numId="21">
    <w:abstractNumId w:val="23"/>
  </w:num>
  <w:num w:numId="22">
    <w:abstractNumId w:val="24"/>
  </w:num>
  <w:num w:numId="23">
    <w:abstractNumId w:val="2"/>
  </w:num>
  <w:num w:numId="24">
    <w:abstractNumId w:val="29"/>
  </w:num>
  <w:num w:numId="25">
    <w:abstractNumId w:val="1"/>
  </w:num>
  <w:num w:numId="26">
    <w:abstractNumId w:val="41"/>
  </w:num>
  <w:num w:numId="27">
    <w:abstractNumId w:val="40"/>
  </w:num>
  <w:num w:numId="28">
    <w:abstractNumId w:val="22"/>
  </w:num>
  <w:num w:numId="29">
    <w:abstractNumId w:val="37"/>
  </w:num>
  <w:num w:numId="30">
    <w:abstractNumId w:val="38"/>
  </w:num>
  <w:num w:numId="31">
    <w:abstractNumId w:val="42"/>
  </w:num>
  <w:num w:numId="32">
    <w:abstractNumId w:val="26"/>
  </w:num>
  <w:num w:numId="33">
    <w:abstractNumId w:val="20"/>
  </w:num>
  <w:num w:numId="34">
    <w:abstractNumId w:val="28"/>
  </w:num>
  <w:num w:numId="35">
    <w:abstractNumId w:val="0"/>
  </w:num>
  <w:num w:numId="36">
    <w:abstractNumId w:val="17"/>
  </w:num>
  <w:num w:numId="37">
    <w:abstractNumId w:val="33"/>
  </w:num>
  <w:num w:numId="38">
    <w:abstractNumId w:val="31"/>
  </w:num>
  <w:num w:numId="39">
    <w:abstractNumId w:val="7"/>
  </w:num>
  <w:num w:numId="40">
    <w:abstractNumId w:val="27"/>
  </w:num>
  <w:num w:numId="41">
    <w:abstractNumId w:val="19"/>
  </w:num>
  <w:num w:numId="42">
    <w:abstractNumId w:val="30"/>
  </w:num>
  <w:num w:numId="43">
    <w:abstractNumId w:val="5"/>
  </w:num>
  <w:num w:numId="44">
    <w:abstractNumId w:val="34"/>
  </w:num>
  <w:num w:numId="45">
    <w:abstractNumId w:val="6"/>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01"/>
    <w:rsid w:val="00000901"/>
    <w:rsid w:val="00007F55"/>
    <w:rsid w:val="00013FE0"/>
    <w:rsid w:val="00022324"/>
    <w:rsid w:val="00031822"/>
    <w:rsid w:val="00042AD4"/>
    <w:rsid w:val="00045953"/>
    <w:rsid w:val="00045E79"/>
    <w:rsid w:val="00056156"/>
    <w:rsid w:val="000648B8"/>
    <w:rsid w:val="0006610A"/>
    <w:rsid w:val="0006784F"/>
    <w:rsid w:val="00071235"/>
    <w:rsid w:val="0007676C"/>
    <w:rsid w:val="000839D2"/>
    <w:rsid w:val="00090D8E"/>
    <w:rsid w:val="00092579"/>
    <w:rsid w:val="000968B9"/>
    <w:rsid w:val="000978B5"/>
    <w:rsid w:val="000A5741"/>
    <w:rsid w:val="000B2A26"/>
    <w:rsid w:val="000B3B7A"/>
    <w:rsid w:val="000B5485"/>
    <w:rsid w:val="000C05B2"/>
    <w:rsid w:val="000C2F36"/>
    <w:rsid w:val="000C5199"/>
    <w:rsid w:val="000C63E1"/>
    <w:rsid w:val="000C6A89"/>
    <w:rsid w:val="000D073E"/>
    <w:rsid w:val="000D53A6"/>
    <w:rsid w:val="000D5A7B"/>
    <w:rsid w:val="000D74CC"/>
    <w:rsid w:val="000E6C96"/>
    <w:rsid w:val="000F0F4E"/>
    <w:rsid w:val="000F173C"/>
    <w:rsid w:val="000F337F"/>
    <w:rsid w:val="000F451E"/>
    <w:rsid w:val="00100C40"/>
    <w:rsid w:val="00104E3F"/>
    <w:rsid w:val="001062DC"/>
    <w:rsid w:val="00106642"/>
    <w:rsid w:val="001114A3"/>
    <w:rsid w:val="001129AE"/>
    <w:rsid w:val="00114346"/>
    <w:rsid w:val="00121AB0"/>
    <w:rsid w:val="00124D25"/>
    <w:rsid w:val="00125186"/>
    <w:rsid w:val="00133137"/>
    <w:rsid w:val="00133F85"/>
    <w:rsid w:val="0013658B"/>
    <w:rsid w:val="00140262"/>
    <w:rsid w:val="00142A83"/>
    <w:rsid w:val="00142E8B"/>
    <w:rsid w:val="00146118"/>
    <w:rsid w:val="00146E87"/>
    <w:rsid w:val="00147FEB"/>
    <w:rsid w:val="001557EB"/>
    <w:rsid w:val="001566EB"/>
    <w:rsid w:val="00157CC3"/>
    <w:rsid w:val="0016010F"/>
    <w:rsid w:val="00160384"/>
    <w:rsid w:val="0016297E"/>
    <w:rsid w:val="0016333F"/>
    <w:rsid w:val="001638FC"/>
    <w:rsid w:val="00163902"/>
    <w:rsid w:val="00165C9E"/>
    <w:rsid w:val="001666E6"/>
    <w:rsid w:val="0017034F"/>
    <w:rsid w:val="00173293"/>
    <w:rsid w:val="0017404A"/>
    <w:rsid w:val="0017485F"/>
    <w:rsid w:val="0017593B"/>
    <w:rsid w:val="001861E8"/>
    <w:rsid w:val="00193E92"/>
    <w:rsid w:val="001979A3"/>
    <w:rsid w:val="001A0404"/>
    <w:rsid w:val="001A30C0"/>
    <w:rsid w:val="001A4BB2"/>
    <w:rsid w:val="001A7737"/>
    <w:rsid w:val="001B5D2C"/>
    <w:rsid w:val="001B7184"/>
    <w:rsid w:val="001C4B9F"/>
    <w:rsid w:val="001D0A9C"/>
    <w:rsid w:val="001D6C2D"/>
    <w:rsid w:val="001E0192"/>
    <w:rsid w:val="001F11B6"/>
    <w:rsid w:val="001F1FAD"/>
    <w:rsid w:val="001F3BD0"/>
    <w:rsid w:val="001F3BD5"/>
    <w:rsid w:val="001F6917"/>
    <w:rsid w:val="001F6C24"/>
    <w:rsid w:val="00205817"/>
    <w:rsid w:val="00205C0E"/>
    <w:rsid w:val="0021361C"/>
    <w:rsid w:val="002246C2"/>
    <w:rsid w:val="0023021C"/>
    <w:rsid w:val="002312D2"/>
    <w:rsid w:val="00233F00"/>
    <w:rsid w:val="00236148"/>
    <w:rsid w:val="0023794E"/>
    <w:rsid w:val="002405BC"/>
    <w:rsid w:val="00243015"/>
    <w:rsid w:val="00246570"/>
    <w:rsid w:val="002471EF"/>
    <w:rsid w:val="0025040A"/>
    <w:rsid w:val="002505E8"/>
    <w:rsid w:val="00250A00"/>
    <w:rsid w:val="00251DB9"/>
    <w:rsid w:val="002575DD"/>
    <w:rsid w:val="00260158"/>
    <w:rsid w:val="00262664"/>
    <w:rsid w:val="00264340"/>
    <w:rsid w:val="002652E5"/>
    <w:rsid w:val="00276605"/>
    <w:rsid w:val="00283E39"/>
    <w:rsid w:val="002844A0"/>
    <w:rsid w:val="00285C9F"/>
    <w:rsid w:val="0029061C"/>
    <w:rsid w:val="002964C3"/>
    <w:rsid w:val="00297374"/>
    <w:rsid w:val="002A09AB"/>
    <w:rsid w:val="002A6391"/>
    <w:rsid w:val="002B03E2"/>
    <w:rsid w:val="002B069A"/>
    <w:rsid w:val="002B26A4"/>
    <w:rsid w:val="002B3F7C"/>
    <w:rsid w:val="002C4E03"/>
    <w:rsid w:val="002C6916"/>
    <w:rsid w:val="002C7715"/>
    <w:rsid w:val="002D03C1"/>
    <w:rsid w:val="002D1EAF"/>
    <w:rsid w:val="002D5477"/>
    <w:rsid w:val="002E37BA"/>
    <w:rsid w:val="002E40D0"/>
    <w:rsid w:val="002E7C33"/>
    <w:rsid w:val="003058A2"/>
    <w:rsid w:val="0030602A"/>
    <w:rsid w:val="00306E5D"/>
    <w:rsid w:val="003078FA"/>
    <w:rsid w:val="00327D70"/>
    <w:rsid w:val="0034496D"/>
    <w:rsid w:val="003523E7"/>
    <w:rsid w:val="00355BBF"/>
    <w:rsid w:val="00357BD3"/>
    <w:rsid w:val="003631B7"/>
    <w:rsid w:val="003634C4"/>
    <w:rsid w:val="00366209"/>
    <w:rsid w:val="00366A77"/>
    <w:rsid w:val="0037344A"/>
    <w:rsid w:val="00374EDC"/>
    <w:rsid w:val="00375B90"/>
    <w:rsid w:val="0038247E"/>
    <w:rsid w:val="003828EC"/>
    <w:rsid w:val="00390D09"/>
    <w:rsid w:val="00390E4C"/>
    <w:rsid w:val="00392903"/>
    <w:rsid w:val="003946AD"/>
    <w:rsid w:val="0039525A"/>
    <w:rsid w:val="003A2860"/>
    <w:rsid w:val="003A4EA2"/>
    <w:rsid w:val="003A50A0"/>
    <w:rsid w:val="003A5964"/>
    <w:rsid w:val="003B4FDE"/>
    <w:rsid w:val="003B52AA"/>
    <w:rsid w:val="003C149C"/>
    <w:rsid w:val="003C77F1"/>
    <w:rsid w:val="003D11D6"/>
    <w:rsid w:val="003E184F"/>
    <w:rsid w:val="003E1A75"/>
    <w:rsid w:val="003E4A0C"/>
    <w:rsid w:val="003E4DE6"/>
    <w:rsid w:val="003E6030"/>
    <w:rsid w:val="003E64B5"/>
    <w:rsid w:val="003F3DFA"/>
    <w:rsid w:val="003F68EC"/>
    <w:rsid w:val="003F7DC5"/>
    <w:rsid w:val="00405F01"/>
    <w:rsid w:val="00412031"/>
    <w:rsid w:val="00416A69"/>
    <w:rsid w:val="00417338"/>
    <w:rsid w:val="004221AA"/>
    <w:rsid w:val="00426F1D"/>
    <w:rsid w:val="00430074"/>
    <w:rsid w:val="00431D20"/>
    <w:rsid w:val="00432408"/>
    <w:rsid w:val="00447A7D"/>
    <w:rsid w:val="00452097"/>
    <w:rsid w:val="00454C1A"/>
    <w:rsid w:val="00455583"/>
    <w:rsid w:val="004571D7"/>
    <w:rsid w:val="00461858"/>
    <w:rsid w:val="00463F0F"/>
    <w:rsid w:val="0047436F"/>
    <w:rsid w:val="00477EB1"/>
    <w:rsid w:val="004836F3"/>
    <w:rsid w:val="00485648"/>
    <w:rsid w:val="00486B3D"/>
    <w:rsid w:val="004958DA"/>
    <w:rsid w:val="004A1B6D"/>
    <w:rsid w:val="004B0928"/>
    <w:rsid w:val="004B2F69"/>
    <w:rsid w:val="004C1DDA"/>
    <w:rsid w:val="004C4118"/>
    <w:rsid w:val="004C7E2F"/>
    <w:rsid w:val="004D012E"/>
    <w:rsid w:val="004D1097"/>
    <w:rsid w:val="004D29D7"/>
    <w:rsid w:val="004E02CB"/>
    <w:rsid w:val="004E2DEB"/>
    <w:rsid w:val="004E6335"/>
    <w:rsid w:val="004F1801"/>
    <w:rsid w:val="004F2839"/>
    <w:rsid w:val="004F37C6"/>
    <w:rsid w:val="004F5B56"/>
    <w:rsid w:val="004F7F92"/>
    <w:rsid w:val="00502F5B"/>
    <w:rsid w:val="00503F55"/>
    <w:rsid w:val="0050533C"/>
    <w:rsid w:val="00511F4D"/>
    <w:rsid w:val="005269FA"/>
    <w:rsid w:val="00526D8B"/>
    <w:rsid w:val="00526E20"/>
    <w:rsid w:val="00541548"/>
    <w:rsid w:val="005432EF"/>
    <w:rsid w:val="005436BB"/>
    <w:rsid w:val="00544A11"/>
    <w:rsid w:val="005459A8"/>
    <w:rsid w:val="0054737E"/>
    <w:rsid w:val="00550381"/>
    <w:rsid w:val="00551678"/>
    <w:rsid w:val="005529B7"/>
    <w:rsid w:val="0055652E"/>
    <w:rsid w:val="00556B26"/>
    <w:rsid w:val="005609D7"/>
    <w:rsid w:val="00563DB8"/>
    <w:rsid w:val="00570021"/>
    <w:rsid w:val="00571B2E"/>
    <w:rsid w:val="0057692E"/>
    <w:rsid w:val="00577351"/>
    <w:rsid w:val="00580411"/>
    <w:rsid w:val="0058313A"/>
    <w:rsid w:val="00591A8D"/>
    <w:rsid w:val="00592AC5"/>
    <w:rsid w:val="0059469E"/>
    <w:rsid w:val="005A3F22"/>
    <w:rsid w:val="005B60DA"/>
    <w:rsid w:val="005B6874"/>
    <w:rsid w:val="005C06D6"/>
    <w:rsid w:val="005D06D1"/>
    <w:rsid w:val="005D22C5"/>
    <w:rsid w:val="005D5CBA"/>
    <w:rsid w:val="005D6804"/>
    <w:rsid w:val="005E2180"/>
    <w:rsid w:val="005E2F38"/>
    <w:rsid w:val="005E69A4"/>
    <w:rsid w:val="005F519D"/>
    <w:rsid w:val="005F7F5B"/>
    <w:rsid w:val="00601843"/>
    <w:rsid w:val="00603590"/>
    <w:rsid w:val="00615DF4"/>
    <w:rsid w:val="00616782"/>
    <w:rsid w:val="00616E3E"/>
    <w:rsid w:val="0062554A"/>
    <w:rsid w:val="00626B8A"/>
    <w:rsid w:val="00627ABE"/>
    <w:rsid w:val="00631BD6"/>
    <w:rsid w:val="006334D0"/>
    <w:rsid w:val="00642F5C"/>
    <w:rsid w:val="00643311"/>
    <w:rsid w:val="00645B35"/>
    <w:rsid w:val="0064619C"/>
    <w:rsid w:val="00650A5C"/>
    <w:rsid w:val="00673EFC"/>
    <w:rsid w:val="006757B8"/>
    <w:rsid w:val="00683B26"/>
    <w:rsid w:val="00683ED8"/>
    <w:rsid w:val="0068517C"/>
    <w:rsid w:val="006939D8"/>
    <w:rsid w:val="0069730F"/>
    <w:rsid w:val="006A06AD"/>
    <w:rsid w:val="006A2979"/>
    <w:rsid w:val="006A5108"/>
    <w:rsid w:val="006A6796"/>
    <w:rsid w:val="006B32BE"/>
    <w:rsid w:val="006B462B"/>
    <w:rsid w:val="006C024C"/>
    <w:rsid w:val="006C1F51"/>
    <w:rsid w:val="006D1902"/>
    <w:rsid w:val="006E3D6D"/>
    <w:rsid w:val="006E67E4"/>
    <w:rsid w:val="006E68FD"/>
    <w:rsid w:val="006F49CB"/>
    <w:rsid w:val="00705166"/>
    <w:rsid w:val="00705192"/>
    <w:rsid w:val="0070529D"/>
    <w:rsid w:val="00705493"/>
    <w:rsid w:val="007058F0"/>
    <w:rsid w:val="00717208"/>
    <w:rsid w:val="007370CA"/>
    <w:rsid w:val="00741E71"/>
    <w:rsid w:val="00744D44"/>
    <w:rsid w:val="00747FC9"/>
    <w:rsid w:val="0076102A"/>
    <w:rsid w:val="00764050"/>
    <w:rsid w:val="007675E7"/>
    <w:rsid w:val="00767A5A"/>
    <w:rsid w:val="00767D03"/>
    <w:rsid w:val="00770633"/>
    <w:rsid w:val="0077493C"/>
    <w:rsid w:val="00787895"/>
    <w:rsid w:val="00793330"/>
    <w:rsid w:val="007964CF"/>
    <w:rsid w:val="00797C06"/>
    <w:rsid w:val="007A36E8"/>
    <w:rsid w:val="007A43FE"/>
    <w:rsid w:val="007A48BE"/>
    <w:rsid w:val="007A5B15"/>
    <w:rsid w:val="007A5BBD"/>
    <w:rsid w:val="007B20C7"/>
    <w:rsid w:val="007C08C8"/>
    <w:rsid w:val="007C0E2A"/>
    <w:rsid w:val="007C702C"/>
    <w:rsid w:val="007C7D20"/>
    <w:rsid w:val="007D0E6A"/>
    <w:rsid w:val="007D162A"/>
    <w:rsid w:val="007D1883"/>
    <w:rsid w:val="007D664B"/>
    <w:rsid w:val="007D6929"/>
    <w:rsid w:val="007E27A3"/>
    <w:rsid w:val="007E4D73"/>
    <w:rsid w:val="007F051E"/>
    <w:rsid w:val="007F09A2"/>
    <w:rsid w:val="007F2413"/>
    <w:rsid w:val="007F54F4"/>
    <w:rsid w:val="007F5BE9"/>
    <w:rsid w:val="007F73D1"/>
    <w:rsid w:val="00800B7A"/>
    <w:rsid w:val="00800C78"/>
    <w:rsid w:val="00804B97"/>
    <w:rsid w:val="00806728"/>
    <w:rsid w:val="00811B85"/>
    <w:rsid w:val="008130F2"/>
    <w:rsid w:val="00815F33"/>
    <w:rsid w:val="00820005"/>
    <w:rsid w:val="00830E76"/>
    <w:rsid w:val="008343EE"/>
    <w:rsid w:val="00840E25"/>
    <w:rsid w:val="00841F5D"/>
    <w:rsid w:val="00842CC1"/>
    <w:rsid w:val="008441E7"/>
    <w:rsid w:val="00854792"/>
    <w:rsid w:val="008552D2"/>
    <w:rsid w:val="008557A0"/>
    <w:rsid w:val="00857651"/>
    <w:rsid w:val="0086294D"/>
    <w:rsid w:val="0086413D"/>
    <w:rsid w:val="00865796"/>
    <w:rsid w:val="00866EA4"/>
    <w:rsid w:val="00873EE3"/>
    <w:rsid w:val="00874B82"/>
    <w:rsid w:val="008831AE"/>
    <w:rsid w:val="00887769"/>
    <w:rsid w:val="008927E1"/>
    <w:rsid w:val="00894D03"/>
    <w:rsid w:val="008A0778"/>
    <w:rsid w:val="008A12EB"/>
    <w:rsid w:val="008A43C1"/>
    <w:rsid w:val="008B4F66"/>
    <w:rsid w:val="008B571B"/>
    <w:rsid w:val="008B6222"/>
    <w:rsid w:val="008B629C"/>
    <w:rsid w:val="008C2C41"/>
    <w:rsid w:val="008C32B8"/>
    <w:rsid w:val="008C706B"/>
    <w:rsid w:val="008D29D7"/>
    <w:rsid w:val="008D69CE"/>
    <w:rsid w:val="008F176F"/>
    <w:rsid w:val="00901F13"/>
    <w:rsid w:val="009079A8"/>
    <w:rsid w:val="00910A8A"/>
    <w:rsid w:val="00910E08"/>
    <w:rsid w:val="00911BB4"/>
    <w:rsid w:val="009145B2"/>
    <w:rsid w:val="00915BC0"/>
    <w:rsid w:val="00916833"/>
    <w:rsid w:val="00924482"/>
    <w:rsid w:val="009262A9"/>
    <w:rsid w:val="00926737"/>
    <w:rsid w:val="00926ECF"/>
    <w:rsid w:val="00932B2D"/>
    <w:rsid w:val="00936827"/>
    <w:rsid w:val="00936B11"/>
    <w:rsid w:val="009427D2"/>
    <w:rsid w:val="0094327D"/>
    <w:rsid w:val="00944930"/>
    <w:rsid w:val="00946A49"/>
    <w:rsid w:val="00947B0A"/>
    <w:rsid w:val="00951C4B"/>
    <w:rsid w:val="00951E38"/>
    <w:rsid w:val="009558DA"/>
    <w:rsid w:val="009567E8"/>
    <w:rsid w:val="00957357"/>
    <w:rsid w:val="00961CB8"/>
    <w:rsid w:val="00971048"/>
    <w:rsid w:val="00987C50"/>
    <w:rsid w:val="00990A11"/>
    <w:rsid w:val="0099107E"/>
    <w:rsid w:val="009B067A"/>
    <w:rsid w:val="009B6B7F"/>
    <w:rsid w:val="009B7841"/>
    <w:rsid w:val="009C1AC4"/>
    <w:rsid w:val="009C7490"/>
    <w:rsid w:val="009D3C88"/>
    <w:rsid w:val="009E0D50"/>
    <w:rsid w:val="009E225D"/>
    <w:rsid w:val="009E765A"/>
    <w:rsid w:val="009F0159"/>
    <w:rsid w:val="009F3C39"/>
    <w:rsid w:val="00A01B85"/>
    <w:rsid w:val="00A04FA8"/>
    <w:rsid w:val="00A128F3"/>
    <w:rsid w:val="00A1535E"/>
    <w:rsid w:val="00A16924"/>
    <w:rsid w:val="00A16939"/>
    <w:rsid w:val="00A22A36"/>
    <w:rsid w:val="00A24CF5"/>
    <w:rsid w:val="00A25407"/>
    <w:rsid w:val="00A3100B"/>
    <w:rsid w:val="00A3235E"/>
    <w:rsid w:val="00A3414F"/>
    <w:rsid w:val="00A3540F"/>
    <w:rsid w:val="00A35CA4"/>
    <w:rsid w:val="00A3637C"/>
    <w:rsid w:val="00A41662"/>
    <w:rsid w:val="00A41734"/>
    <w:rsid w:val="00A5264C"/>
    <w:rsid w:val="00A53DBF"/>
    <w:rsid w:val="00A54966"/>
    <w:rsid w:val="00A5789A"/>
    <w:rsid w:val="00A71DE0"/>
    <w:rsid w:val="00A728D9"/>
    <w:rsid w:val="00A75FD5"/>
    <w:rsid w:val="00A806A7"/>
    <w:rsid w:val="00A82D7D"/>
    <w:rsid w:val="00A85F65"/>
    <w:rsid w:val="00AA03E0"/>
    <w:rsid w:val="00AA0BCE"/>
    <w:rsid w:val="00AA7101"/>
    <w:rsid w:val="00AA7474"/>
    <w:rsid w:val="00AB3A32"/>
    <w:rsid w:val="00AB482B"/>
    <w:rsid w:val="00AB5613"/>
    <w:rsid w:val="00AC51B4"/>
    <w:rsid w:val="00AD0822"/>
    <w:rsid w:val="00AD09A0"/>
    <w:rsid w:val="00AD2D85"/>
    <w:rsid w:val="00AD4FE5"/>
    <w:rsid w:val="00AE0EC4"/>
    <w:rsid w:val="00AE6D3F"/>
    <w:rsid w:val="00AE7D9C"/>
    <w:rsid w:val="00AF10EF"/>
    <w:rsid w:val="00AF1172"/>
    <w:rsid w:val="00AF253E"/>
    <w:rsid w:val="00B00924"/>
    <w:rsid w:val="00B10E7F"/>
    <w:rsid w:val="00B1220B"/>
    <w:rsid w:val="00B1297A"/>
    <w:rsid w:val="00B17418"/>
    <w:rsid w:val="00B25BB1"/>
    <w:rsid w:val="00B32BF4"/>
    <w:rsid w:val="00B364C3"/>
    <w:rsid w:val="00B37C8F"/>
    <w:rsid w:val="00B41789"/>
    <w:rsid w:val="00B47420"/>
    <w:rsid w:val="00B5026A"/>
    <w:rsid w:val="00B509D8"/>
    <w:rsid w:val="00B543F1"/>
    <w:rsid w:val="00B54F35"/>
    <w:rsid w:val="00B57290"/>
    <w:rsid w:val="00B6109B"/>
    <w:rsid w:val="00B61714"/>
    <w:rsid w:val="00B64B57"/>
    <w:rsid w:val="00B72A87"/>
    <w:rsid w:val="00B73F44"/>
    <w:rsid w:val="00B816B6"/>
    <w:rsid w:val="00B8309B"/>
    <w:rsid w:val="00B93CEC"/>
    <w:rsid w:val="00B9436C"/>
    <w:rsid w:val="00B9753F"/>
    <w:rsid w:val="00BA732D"/>
    <w:rsid w:val="00BB343C"/>
    <w:rsid w:val="00BB4F2E"/>
    <w:rsid w:val="00BB6DBD"/>
    <w:rsid w:val="00BB6F8D"/>
    <w:rsid w:val="00BC14FF"/>
    <w:rsid w:val="00BC7C56"/>
    <w:rsid w:val="00BD0289"/>
    <w:rsid w:val="00BD603E"/>
    <w:rsid w:val="00BD69B8"/>
    <w:rsid w:val="00BE124B"/>
    <w:rsid w:val="00BF1420"/>
    <w:rsid w:val="00BF37C7"/>
    <w:rsid w:val="00BF4682"/>
    <w:rsid w:val="00BF58AE"/>
    <w:rsid w:val="00BF6A1E"/>
    <w:rsid w:val="00C001E9"/>
    <w:rsid w:val="00C14DAF"/>
    <w:rsid w:val="00C17ED6"/>
    <w:rsid w:val="00C201D7"/>
    <w:rsid w:val="00C20A74"/>
    <w:rsid w:val="00C21586"/>
    <w:rsid w:val="00C22435"/>
    <w:rsid w:val="00C25837"/>
    <w:rsid w:val="00C27371"/>
    <w:rsid w:val="00C34045"/>
    <w:rsid w:val="00C347AF"/>
    <w:rsid w:val="00C50018"/>
    <w:rsid w:val="00C51F92"/>
    <w:rsid w:val="00C520AB"/>
    <w:rsid w:val="00C567B0"/>
    <w:rsid w:val="00C621FF"/>
    <w:rsid w:val="00C722B7"/>
    <w:rsid w:val="00C73336"/>
    <w:rsid w:val="00C8613E"/>
    <w:rsid w:val="00C861AE"/>
    <w:rsid w:val="00C867C0"/>
    <w:rsid w:val="00C941B3"/>
    <w:rsid w:val="00CA7FA6"/>
    <w:rsid w:val="00CB3BA6"/>
    <w:rsid w:val="00CB3BCA"/>
    <w:rsid w:val="00CB6476"/>
    <w:rsid w:val="00CB69EF"/>
    <w:rsid w:val="00CB764C"/>
    <w:rsid w:val="00CC3728"/>
    <w:rsid w:val="00CC43AA"/>
    <w:rsid w:val="00CC6E95"/>
    <w:rsid w:val="00CC77E3"/>
    <w:rsid w:val="00CD010C"/>
    <w:rsid w:val="00CD171C"/>
    <w:rsid w:val="00CD3535"/>
    <w:rsid w:val="00CD42E9"/>
    <w:rsid w:val="00CE13CD"/>
    <w:rsid w:val="00CE1725"/>
    <w:rsid w:val="00CE4ED9"/>
    <w:rsid w:val="00CE5506"/>
    <w:rsid w:val="00CE6D86"/>
    <w:rsid w:val="00CE7235"/>
    <w:rsid w:val="00CF35A8"/>
    <w:rsid w:val="00D11068"/>
    <w:rsid w:val="00D14400"/>
    <w:rsid w:val="00D17932"/>
    <w:rsid w:val="00D222A0"/>
    <w:rsid w:val="00D22B30"/>
    <w:rsid w:val="00D332EC"/>
    <w:rsid w:val="00D417A7"/>
    <w:rsid w:val="00D42091"/>
    <w:rsid w:val="00D4237D"/>
    <w:rsid w:val="00D56E91"/>
    <w:rsid w:val="00D64B42"/>
    <w:rsid w:val="00D657C2"/>
    <w:rsid w:val="00D67148"/>
    <w:rsid w:val="00D70586"/>
    <w:rsid w:val="00D716A6"/>
    <w:rsid w:val="00D773D8"/>
    <w:rsid w:val="00D77CA1"/>
    <w:rsid w:val="00D814E9"/>
    <w:rsid w:val="00D81B7E"/>
    <w:rsid w:val="00D8597F"/>
    <w:rsid w:val="00D86001"/>
    <w:rsid w:val="00DB3C7E"/>
    <w:rsid w:val="00DB6893"/>
    <w:rsid w:val="00DB75AC"/>
    <w:rsid w:val="00DC5C07"/>
    <w:rsid w:val="00DD5201"/>
    <w:rsid w:val="00DE0D80"/>
    <w:rsid w:val="00DE4338"/>
    <w:rsid w:val="00DE5643"/>
    <w:rsid w:val="00DF1186"/>
    <w:rsid w:val="00DF3B33"/>
    <w:rsid w:val="00DF7251"/>
    <w:rsid w:val="00E01E15"/>
    <w:rsid w:val="00E06BC2"/>
    <w:rsid w:val="00E14D61"/>
    <w:rsid w:val="00E15133"/>
    <w:rsid w:val="00E15242"/>
    <w:rsid w:val="00E17094"/>
    <w:rsid w:val="00E20246"/>
    <w:rsid w:val="00E21987"/>
    <w:rsid w:val="00E34D9C"/>
    <w:rsid w:val="00E40293"/>
    <w:rsid w:val="00E40B80"/>
    <w:rsid w:val="00E55C3B"/>
    <w:rsid w:val="00E56223"/>
    <w:rsid w:val="00E67F91"/>
    <w:rsid w:val="00E76323"/>
    <w:rsid w:val="00E8398C"/>
    <w:rsid w:val="00E86BD6"/>
    <w:rsid w:val="00E919EB"/>
    <w:rsid w:val="00EA1016"/>
    <w:rsid w:val="00EA502A"/>
    <w:rsid w:val="00EB2155"/>
    <w:rsid w:val="00EB5E4B"/>
    <w:rsid w:val="00EB74F6"/>
    <w:rsid w:val="00EC7257"/>
    <w:rsid w:val="00ED4613"/>
    <w:rsid w:val="00ED65A5"/>
    <w:rsid w:val="00EE0B0E"/>
    <w:rsid w:val="00EF70F6"/>
    <w:rsid w:val="00F06276"/>
    <w:rsid w:val="00F1649B"/>
    <w:rsid w:val="00F249C8"/>
    <w:rsid w:val="00F274F0"/>
    <w:rsid w:val="00F33622"/>
    <w:rsid w:val="00F34962"/>
    <w:rsid w:val="00F35698"/>
    <w:rsid w:val="00F37CD7"/>
    <w:rsid w:val="00F416BA"/>
    <w:rsid w:val="00F4596A"/>
    <w:rsid w:val="00F55495"/>
    <w:rsid w:val="00F656B4"/>
    <w:rsid w:val="00F66A61"/>
    <w:rsid w:val="00F73B43"/>
    <w:rsid w:val="00F75C05"/>
    <w:rsid w:val="00F76CB2"/>
    <w:rsid w:val="00F77048"/>
    <w:rsid w:val="00F93912"/>
    <w:rsid w:val="00F955E8"/>
    <w:rsid w:val="00F95769"/>
    <w:rsid w:val="00F97D10"/>
    <w:rsid w:val="00FA0590"/>
    <w:rsid w:val="00FA0652"/>
    <w:rsid w:val="00FA575F"/>
    <w:rsid w:val="00FA5ACB"/>
    <w:rsid w:val="00FA791D"/>
    <w:rsid w:val="00FB2501"/>
    <w:rsid w:val="00FB54D6"/>
    <w:rsid w:val="00FB5DF3"/>
    <w:rsid w:val="00FB6DFF"/>
    <w:rsid w:val="00FC122B"/>
    <w:rsid w:val="00FC44DB"/>
    <w:rsid w:val="00FC4F94"/>
    <w:rsid w:val="00FC6D5F"/>
    <w:rsid w:val="00FC7C39"/>
    <w:rsid w:val="00FD7DCA"/>
    <w:rsid w:val="00FE238A"/>
    <w:rsid w:val="00FF10DC"/>
    <w:rsid w:val="00FF5C89"/>
    <w:rsid w:val="00FF76D9"/>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CD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11"/>
    <w:rPr>
      <w:rFonts w:ascii="Arial" w:hAnsi="Arial"/>
      <w:sz w:val="22"/>
    </w:rPr>
  </w:style>
  <w:style w:type="paragraph" w:styleId="Heading1">
    <w:name w:val="heading 1"/>
    <w:basedOn w:val="Normal"/>
    <w:next w:val="Normal"/>
    <w:link w:val="Heading1Char"/>
    <w:uiPriority w:val="9"/>
    <w:qFormat/>
    <w:rsid w:val="0016390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11"/>
    <w:pPr>
      <w:tabs>
        <w:tab w:val="center" w:pos="4320"/>
        <w:tab w:val="right" w:pos="8640"/>
      </w:tabs>
    </w:pPr>
  </w:style>
  <w:style w:type="paragraph" w:styleId="Footer">
    <w:name w:val="footer"/>
    <w:basedOn w:val="Normal"/>
    <w:link w:val="FooterChar"/>
    <w:uiPriority w:val="99"/>
    <w:rsid w:val="00936B11"/>
    <w:pPr>
      <w:tabs>
        <w:tab w:val="center" w:pos="4320"/>
        <w:tab w:val="right" w:pos="8640"/>
      </w:tabs>
    </w:pPr>
  </w:style>
  <w:style w:type="paragraph" w:customStyle="1" w:styleId="Default">
    <w:name w:val="Default"/>
    <w:rsid w:val="00A1535E"/>
    <w:pPr>
      <w:autoSpaceDE w:val="0"/>
      <w:autoSpaceDN w:val="0"/>
      <w:adjustRightInd w:val="0"/>
      <w:spacing w:before="240" w:line="276" w:lineRule="auto"/>
    </w:pPr>
    <w:rPr>
      <w:rFonts w:ascii="Arial" w:hAnsi="Arial" w:cs="Arial"/>
      <w:color w:val="000000"/>
      <w:sz w:val="22"/>
      <w:szCs w:val="22"/>
    </w:rPr>
  </w:style>
  <w:style w:type="paragraph" w:styleId="ListParagraph">
    <w:name w:val="List Paragraph"/>
    <w:basedOn w:val="Normal"/>
    <w:link w:val="ListParagraphChar"/>
    <w:uiPriority w:val="34"/>
    <w:qFormat/>
    <w:rsid w:val="00B364C3"/>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B364C3"/>
    <w:rPr>
      <w:color w:val="0000FF" w:themeColor="hyperlink"/>
      <w:u w:val="single"/>
    </w:rPr>
  </w:style>
  <w:style w:type="character" w:styleId="CommentReference">
    <w:name w:val="annotation reference"/>
    <w:basedOn w:val="DefaultParagraphFont"/>
    <w:rsid w:val="00F416BA"/>
    <w:rPr>
      <w:sz w:val="16"/>
      <w:szCs w:val="16"/>
    </w:rPr>
  </w:style>
  <w:style w:type="paragraph" w:styleId="CommentText">
    <w:name w:val="annotation text"/>
    <w:basedOn w:val="Normal"/>
    <w:link w:val="CommentTextChar"/>
    <w:rsid w:val="00F416BA"/>
    <w:rPr>
      <w:sz w:val="20"/>
    </w:rPr>
  </w:style>
  <w:style w:type="character" w:customStyle="1" w:styleId="CommentTextChar">
    <w:name w:val="Comment Text Char"/>
    <w:basedOn w:val="DefaultParagraphFont"/>
    <w:link w:val="CommentText"/>
    <w:rsid w:val="00F416BA"/>
    <w:rPr>
      <w:rFonts w:ascii="Arial" w:hAnsi="Arial"/>
    </w:rPr>
  </w:style>
  <w:style w:type="paragraph" w:styleId="CommentSubject">
    <w:name w:val="annotation subject"/>
    <w:basedOn w:val="CommentText"/>
    <w:next w:val="CommentText"/>
    <w:link w:val="CommentSubjectChar"/>
    <w:rsid w:val="00F416BA"/>
    <w:rPr>
      <w:b/>
      <w:bCs/>
    </w:rPr>
  </w:style>
  <w:style w:type="character" w:customStyle="1" w:styleId="CommentSubjectChar">
    <w:name w:val="Comment Subject Char"/>
    <w:basedOn w:val="CommentTextChar"/>
    <w:link w:val="CommentSubject"/>
    <w:rsid w:val="00F416BA"/>
    <w:rPr>
      <w:rFonts w:ascii="Arial" w:hAnsi="Arial"/>
      <w:b/>
      <w:bCs/>
    </w:rPr>
  </w:style>
  <w:style w:type="paragraph" w:styleId="BalloonText">
    <w:name w:val="Balloon Text"/>
    <w:basedOn w:val="Normal"/>
    <w:link w:val="BalloonTextChar"/>
    <w:rsid w:val="00F416BA"/>
    <w:rPr>
      <w:rFonts w:ascii="Tahoma" w:hAnsi="Tahoma" w:cs="Tahoma"/>
      <w:sz w:val="16"/>
      <w:szCs w:val="16"/>
    </w:rPr>
  </w:style>
  <w:style w:type="character" w:customStyle="1" w:styleId="BalloonTextChar">
    <w:name w:val="Balloon Text Char"/>
    <w:basedOn w:val="DefaultParagraphFont"/>
    <w:link w:val="BalloonText"/>
    <w:rsid w:val="00F416BA"/>
    <w:rPr>
      <w:rFonts w:ascii="Tahoma" w:hAnsi="Tahoma" w:cs="Tahoma"/>
      <w:sz w:val="16"/>
      <w:szCs w:val="16"/>
    </w:rPr>
  </w:style>
  <w:style w:type="character" w:styleId="FollowedHyperlink">
    <w:name w:val="FollowedHyperlink"/>
    <w:basedOn w:val="DefaultParagraphFont"/>
    <w:rsid w:val="00615DF4"/>
    <w:rPr>
      <w:color w:val="800080" w:themeColor="followedHyperlink"/>
      <w:u w:val="single"/>
    </w:rPr>
  </w:style>
  <w:style w:type="character" w:customStyle="1" w:styleId="Heading1Char">
    <w:name w:val="Heading 1 Char"/>
    <w:basedOn w:val="DefaultParagraphFont"/>
    <w:link w:val="Heading1"/>
    <w:uiPriority w:val="9"/>
    <w:rsid w:val="00163902"/>
    <w:rPr>
      <w:rFonts w:asciiTheme="majorHAnsi" w:eastAsiaTheme="majorEastAsia" w:hAnsiTheme="majorHAnsi" w:cstheme="majorBidi"/>
      <w:bCs/>
      <w:i/>
      <w:color w:val="4F81BD" w:themeColor="accent1"/>
      <w:sz w:val="32"/>
      <w:szCs w:val="32"/>
    </w:rPr>
  </w:style>
  <w:style w:type="character" w:customStyle="1" w:styleId="ListParagraphChar">
    <w:name w:val="List Paragraph Char"/>
    <w:basedOn w:val="DefaultParagraphFont"/>
    <w:link w:val="ListParagraph"/>
    <w:uiPriority w:val="34"/>
    <w:locked/>
    <w:rsid w:val="004D012E"/>
    <w:rPr>
      <w:rFonts w:asciiTheme="minorHAnsi" w:eastAsiaTheme="minorHAnsi" w:hAnsiTheme="minorHAnsi" w:cstheme="minorBidi"/>
      <w:sz w:val="22"/>
      <w:szCs w:val="22"/>
    </w:rPr>
  </w:style>
  <w:style w:type="table" w:customStyle="1" w:styleId="LightShading-Accent11">
    <w:name w:val="Light Shading - Accent 11"/>
    <w:basedOn w:val="TableNormal"/>
    <w:uiPriority w:val="60"/>
    <w:rsid w:val="004D012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Web2">
    <w:name w:val="Table Web 2"/>
    <w:basedOn w:val="TableNormal"/>
    <w:rsid w:val="002136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List2-Accent5">
    <w:name w:val="Medium List 2 Accent 5"/>
    <w:basedOn w:val="TableNormal"/>
    <w:uiPriority w:val="66"/>
    <w:rsid w:val="0079333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9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6">
    <w:name w:val="Medium List 2 Accent 6"/>
    <w:basedOn w:val="TableNormal"/>
    <w:uiPriority w:val="66"/>
    <w:rsid w:val="00104E3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104E3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oterChar">
    <w:name w:val="Footer Char"/>
    <w:basedOn w:val="DefaultParagraphFont"/>
    <w:link w:val="Footer"/>
    <w:uiPriority w:val="99"/>
    <w:rsid w:val="00F66A6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11"/>
    <w:rPr>
      <w:rFonts w:ascii="Arial" w:hAnsi="Arial"/>
      <w:sz w:val="22"/>
    </w:rPr>
  </w:style>
  <w:style w:type="paragraph" w:styleId="Heading1">
    <w:name w:val="heading 1"/>
    <w:basedOn w:val="Normal"/>
    <w:next w:val="Normal"/>
    <w:link w:val="Heading1Char"/>
    <w:uiPriority w:val="9"/>
    <w:qFormat/>
    <w:rsid w:val="0016390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11"/>
    <w:pPr>
      <w:tabs>
        <w:tab w:val="center" w:pos="4320"/>
        <w:tab w:val="right" w:pos="8640"/>
      </w:tabs>
    </w:pPr>
  </w:style>
  <w:style w:type="paragraph" w:styleId="Footer">
    <w:name w:val="footer"/>
    <w:basedOn w:val="Normal"/>
    <w:link w:val="FooterChar"/>
    <w:uiPriority w:val="99"/>
    <w:rsid w:val="00936B11"/>
    <w:pPr>
      <w:tabs>
        <w:tab w:val="center" w:pos="4320"/>
        <w:tab w:val="right" w:pos="8640"/>
      </w:tabs>
    </w:pPr>
  </w:style>
  <w:style w:type="paragraph" w:customStyle="1" w:styleId="Default">
    <w:name w:val="Default"/>
    <w:rsid w:val="00A1535E"/>
    <w:pPr>
      <w:autoSpaceDE w:val="0"/>
      <w:autoSpaceDN w:val="0"/>
      <w:adjustRightInd w:val="0"/>
      <w:spacing w:before="240" w:line="276" w:lineRule="auto"/>
    </w:pPr>
    <w:rPr>
      <w:rFonts w:ascii="Arial" w:hAnsi="Arial" w:cs="Arial"/>
      <w:color w:val="000000"/>
      <w:sz w:val="22"/>
      <w:szCs w:val="22"/>
    </w:rPr>
  </w:style>
  <w:style w:type="paragraph" w:styleId="ListParagraph">
    <w:name w:val="List Paragraph"/>
    <w:basedOn w:val="Normal"/>
    <w:link w:val="ListParagraphChar"/>
    <w:uiPriority w:val="34"/>
    <w:qFormat/>
    <w:rsid w:val="00B364C3"/>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B364C3"/>
    <w:rPr>
      <w:color w:val="0000FF" w:themeColor="hyperlink"/>
      <w:u w:val="single"/>
    </w:rPr>
  </w:style>
  <w:style w:type="character" w:styleId="CommentReference">
    <w:name w:val="annotation reference"/>
    <w:basedOn w:val="DefaultParagraphFont"/>
    <w:rsid w:val="00F416BA"/>
    <w:rPr>
      <w:sz w:val="16"/>
      <w:szCs w:val="16"/>
    </w:rPr>
  </w:style>
  <w:style w:type="paragraph" w:styleId="CommentText">
    <w:name w:val="annotation text"/>
    <w:basedOn w:val="Normal"/>
    <w:link w:val="CommentTextChar"/>
    <w:rsid w:val="00F416BA"/>
    <w:rPr>
      <w:sz w:val="20"/>
    </w:rPr>
  </w:style>
  <w:style w:type="character" w:customStyle="1" w:styleId="CommentTextChar">
    <w:name w:val="Comment Text Char"/>
    <w:basedOn w:val="DefaultParagraphFont"/>
    <w:link w:val="CommentText"/>
    <w:rsid w:val="00F416BA"/>
    <w:rPr>
      <w:rFonts w:ascii="Arial" w:hAnsi="Arial"/>
    </w:rPr>
  </w:style>
  <w:style w:type="paragraph" w:styleId="CommentSubject">
    <w:name w:val="annotation subject"/>
    <w:basedOn w:val="CommentText"/>
    <w:next w:val="CommentText"/>
    <w:link w:val="CommentSubjectChar"/>
    <w:rsid w:val="00F416BA"/>
    <w:rPr>
      <w:b/>
      <w:bCs/>
    </w:rPr>
  </w:style>
  <w:style w:type="character" w:customStyle="1" w:styleId="CommentSubjectChar">
    <w:name w:val="Comment Subject Char"/>
    <w:basedOn w:val="CommentTextChar"/>
    <w:link w:val="CommentSubject"/>
    <w:rsid w:val="00F416BA"/>
    <w:rPr>
      <w:rFonts w:ascii="Arial" w:hAnsi="Arial"/>
      <w:b/>
      <w:bCs/>
    </w:rPr>
  </w:style>
  <w:style w:type="paragraph" w:styleId="BalloonText">
    <w:name w:val="Balloon Text"/>
    <w:basedOn w:val="Normal"/>
    <w:link w:val="BalloonTextChar"/>
    <w:rsid w:val="00F416BA"/>
    <w:rPr>
      <w:rFonts w:ascii="Tahoma" w:hAnsi="Tahoma" w:cs="Tahoma"/>
      <w:sz w:val="16"/>
      <w:szCs w:val="16"/>
    </w:rPr>
  </w:style>
  <w:style w:type="character" w:customStyle="1" w:styleId="BalloonTextChar">
    <w:name w:val="Balloon Text Char"/>
    <w:basedOn w:val="DefaultParagraphFont"/>
    <w:link w:val="BalloonText"/>
    <w:rsid w:val="00F416BA"/>
    <w:rPr>
      <w:rFonts w:ascii="Tahoma" w:hAnsi="Tahoma" w:cs="Tahoma"/>
      <w:sz w:val="16"/>
      <w:szCs w:val="16"/>
    </w:rPr>
  </w:style>
  <w:style w:type="character" w:styleId="FollowedHyperlink">
    <w:name w:val="FollowedHyperlink"/>
    <w:basedOn w:val="DefaultParagraphFont"/>
    <w:rsid w:val="00615DF4"/>
    <w:rPr>
      <w:color w:val="800080" w:themeColor="followedHyperlink"/>
      <w:u w:val="single"/>
    </w:rPr>
  </w:style>
  <w:style w:type="character" w:customStyle="1" w:styleId="Heading1Char">
    <w:name w:val="Heading 1 Char"/>
    <w:basedOn w:val="DefaultParagraphFont"/>
    <w:link w:val="Heading1"/>
    <w:uiPriority w:val="9"/>
    <w:rsid w:val="00163902"/>
    <w:rPr>
      <w:rFonts w:asciiTheme="majorHAnsi" w:eastAsiaTheme="majorEastAsia" w:hAnsiTheme="majorHAnsi" w:cstheme="majorBidi"/>
      <w:bCs/>
      <w:i/>
      <w:color w:val="4F81BD" w:themeColor="accent1"/>
      <w:sz w:val="32"/>
      <w:szCs w:val="32"/>
    </w:rPr>
  </w:style>
  <w:style w:type="character" w:customStyle="1" w:styleId="ListParagraphChar">
    <w:name w:val="List Paragraph Char"/>
    <w:basedOn w:val="DefaultParagraphFont"/>
    <w:link w:val="ListParagraph"/>
    <w:uiPriority w:val="34"/>
    <w:locked/>
    <w:rsid w:val="004D012E"/>
    <w:rPr>
      <w:rFonts w:asciiTheme="minorHAnsi" w:eastAsiaTheme="minorHAnsi" w:hAnsiTheme="minorHAnsi" w:cstheme="minorBidi"/>
      <w:sz w:val="22"/>
      <w:szCs w:val="22"/>
    </w:rPr>
  </w:style>
  <w:style w:type="table" w:customStyle="1" w:styleId="LightShading-Accent11">
    <w:name w:val="Light Shading - Accent 11"/>
    <w:basedOn w:val="TableNormal"/>
    <w:uiPriority w:val="60"/>
    <w:rsid w:val="004D012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Web2">
    <w:name w:val="Table Web 2"/>
    <w:basedOn w:val="TableNormal"/>
    <w:rsid w:val="002136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List2-Accent5">
    <w:name w:val="Medium List 2 Accent 5"/>
    <w:basedOn w:val="TableNormal"/>
    <w:uiPriority w:val="66"/>
    <w:rsid w:val="0079333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9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6">
    <w:name w:val="Medium List 2 Accent 6"/>
    <w:basedOn w:val="TableNormal"/>
    <w:uiPriority w:val="66"/>
    <w:rsid w:val="00104E3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104E3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oterChar">
    <w:name w:val="Footer Char"/>
    <w:basedOn w:val="DefaultParagraphFont"/>
    <w:link w:val="Footer"/>
    <w:uiPriority w:val="99"/>
    <w:rsid w:val="00F66A6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7406">
      <w:bodyDiv w:val="1"/>
      <w:marLeft w:val="0"/>
      <w:marRight w:val="0"/>
      <w:marTop w:val="0"/>
      <w:marBottom w:val="0"/>
      <w:divBdr>
        <w:top w:val="none" w:sz="0" w:space="0" w:color="auto"/>
        <w:left w:val="none" w:sz="0" w:space="0" w:color="auto"/>
        <w:bottom w:val="none" w:sz="0" w:space="0" w:color="auto"/>
        <w:right w:val="none" w:sz="0" w:space="0" w:color="auto"/>
      </w:divBdr>
      <w:divsChild>
        <w:div w:id="1350060831">
          <w:marLeft w:val="547"/>
          <w:marRight w:val="0"/>
          <w:marTop w:val="0"/>
          <w:marBottom w:val="0"/>
          <w:divBdr>
            <w:top w:val="none" w:sz="0" w:space="0" w:color="auto"/>
            <w:left w:val="none" w:sz="0" w:space="0" w:color="auto"/>
            <w:bottom w:val="none" w:sz="0" w:space="0" w:color="auto"/>
            <w:right w:val="none" w:sz="0" w:space="0" w:color="auto"/>
          </w:divBdr>
        </w:div>
      </w:divsChild>
    </w:div>
    <w:div w:id="298848175">
      <w:bodyDiv w:val="1"/>
      <w:marLeft w:val="0"/>
      <w:marRight w:val="0"/>
      <w:marTop w:val="0"/>
      <w:marBottom w:val="0"/>
      <w:divBdr>
        <w:top w:val="none" w:sz="0" w:space="0" w:color="auto"/>
        <w:left w:val="none" w:sz="0" w:space="0" w:color="auto"/>
        <w:bottom w:val="none" w:sz="0" w:space="0" w:color="auto"/>
        <w:right w:val="none" w:sz="0" w:space="0" w:color="auto"/>
      </w:divBdr>
    </w:div>
    <w:div w:id="350767945">
      <w:bodyDiv w:val="1"/>
      <w:marLeft w:val="0"/>
      <w:marRight w:val="0"/>
      <w:marTop w:val="0"/>
      <w:marBottom w:val="0"/>
      <w:divBdr>
        <w:top w:val="none" w:sz="0" w:space="0" w:color="auto"/>
        <w:left w:val="none" w:sz="0" w:space="0" w:color="auto"/>
        <w:bottom w:val="none" w:sz="0" w:space="0" w:color="auto"/>
        <w:right w:val="none" w:sz="0" w:space="0" w:color="auto"/>
      </w:divBdr>
    </w:div>
    <w:div w:id="683558428">
      <w:bodyDiv w:val="1"/>
      <w:marLeft w:val="0"/>
      <w:marRight w:val="0"/>
      <w:marTop w:val="0"/>
      <w:marBottom w:val="0"/>
      <w:divBdr>
        <w:top w:val="none" w:sz="0" w:space="0" w:color="auto"/>
        <w:left w:val="none" w:sz="0" w:space="0" w:color="auto"/>
        <w:bottom w:val="none" w:sz="0" w:space="0" w:color="auto"/>
        <w:right w:val="none" w:sz="0" w:space="0" w:color="auto"/>
      </w:divBdr>
      <w:divsChild>
        <w:div w:id="65035418">
          <w:marLeft w:val="547"/>
          <w:marRight w:val="0"/>
          <w:marTop w:val="0"/>
          <w:marBottom w:val="0"/>
          <w:divBdr>
            <w:top w:val="none" w:sz="0" w:space="0" w:color="auto"/>
            <w:left w:val="none" w:sz="0" w:space="0" w:color="auto"/>
            <w:bottom w:val="none" w:sz="0" w:space="0" w:color="auto"/>
            <w:right w:val="none" w:sz="0" w:space="0" w:color="auto"/>
          </w:divBdr>
        </w:div>
        <w:div w:id="870726195">
          <w:marLeft w:val="547"/>
          <w:marRight w:val="0"/>
          <w:marTop w:val="0"/>
          <w:marBottom w:val="0"/>
          <w:divBdr>
            <w:top w:val="none" w:sz="0" w:space="0" w:color="auto"/>
            <w:left w:val="none" w:sz="0" w:space="0" w:color="auto"/>
            <w:bottom w:val="none" w:sz="0" w:space="0" w:color="auto"/>
            <w:right w:val="none" w:sz="0" w:space="0" w:color="auto"/>
          </w:divBdr>
        </w:div>
        <w:div w:id="1133713402">
          <w:marLeft w:val="547"/>
          <w:marRight w:val="0"/>
          <w:marTop w:val="0"/>
          <w:marBottom w:val="0"/>
          <w:divBdr>
            <w:top w:val="none" w:sz="0" w:space="0" w:color="auto"/>
            <w:left w:val="none" w:sz="0" w:space="0" w:color="auto"/>
            <w:bottom w:val="none" w:sz="0" w:space="0" w:color="auto"/>
            <w:right w:val="none" w:sz="0" w:space="0" w:color="auto"/>
          </w:divBdr>
        </w:div>
        <w:div w:id="1138914043">
          <w:marLeft w:val="547"/>
          <w:marRight w:val="0"/>
          <w:marTop w:val="0"/>
          <w:marBottom w:val="0"/>
          <w:divBdr>
            <w:top w:val="none" w:sz="0" w:space="0" w:color="auto"/>
            <w:left w:val="none" w:sz="0" w:space="0" w:color="auto"/>
            <w:bottom w:val="none" w:sz="0" w:space="0" w:color="auto"/>
            <w:right w:val="none" w:sz="0" w:space="0" w:color="auto"/>
          </w:divBdr>
        </w:div>
      </w:divsChild>
    </w:div>
    <w:div w:id="747727168">
      <w:bodyDiv w:val="1"/>
      <w:marLeft w:val="0"/>
      <w:marRight w:val="0"/>
      <w:marTop w:val="0"/>
      <w:marBottom w:val="0"/>
      <w:divBdr>
        <w:top w:val="none" w:sz="0" w:space="0" w:color="auto"/>
        <w:left w:val="none" w:sz="0" w:space="0" w:color="auto"/>
        <w:bottom w:val="none" w:sz="0" w:space="0" w:color="auto"/>
        <w:right w:val="none" w:sz="0" w:space="0" w:color="auto"/>
      </w:divBdr>
      <w:divsChild>
        <w:div w:id="951863372">
          <w:marLeft w:val="0"/>
          <w:marRight w:val="0"/>
          <w:marTop w:val="0"/>
          <w:marBottom w:val="300"/>
          <w:divBdr>
            <w:top w:val="none" w:sz="0" w:space="0" w:color="auto"/>
            <w:left w:val="none" w:sz="0" w:space="0" w:color="auto"/>
            <w:bottom w:val="none" w:sz="0" w:space="0" w:color="auto"/>
            <w:right w:val="none" w:sz="0" w:space="0" w:color="auto"/>
          </w:divBdr>
          <w:divsChild>
            <w:div w:id="281348078">
              <w:marLeft w:val="0"/>
              <w:marRight w:val="0"/>
              <w:marTop w:val="150"/>
              <w:marBottom w:val="0"/>
              <w:divBdr>
                <w:top w:val="none" w:sz="0" w:space="0" w:color="auto"/>
                <w:left w:val="none" w:sz="0" w:space="0" w:color="auto"/>
                <w:bottom w:val="none" w:sz="0" w:space="0" w:color="auto"/>
                <w:right w:val="none" w:sz="0" w:space="0" w:color="auto"/>
              </w:divBdr>
              <w:divsChild>
                <w:div w:id="1933581521">
                  <w:marLeft w:val="0"/>
                  <w:marRight w:val="0"/>
                  <w:marTop w:val="0"/>
                  <w:marBottom w:val="0"/>
                  <w:divBdr>
                    <w:top w:val="none" w:sz="0" w:space="0" w:color="auto"/>
                    <w:left w:val="none" w:sz="0" w:space="0" w:color="auto"/>
                    <w:bottom w:val="none" w:sz="0" w:space="0" w:color="auto"/>
                    <w:right w:val="none" w:sz="0" w:space="0" w:color="auto"/>
                  </w:divBdr>
                  <w:divsChild>
                    <w:div w:id="14853891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796">
      <w:bodyDiv w:val="1"/>
      <w:marLeft w:val="0"/>
      <w:marRight w:val="0"/>
      <w:marTop w:val="0"/>
      <w:marBottom w:val="0"/>
      <w:divBdr>
        <w:top w:val="none" w:sz="0" w:space="0" w:color="auto"/>
        <w:left w:val="none" w:sz="0" w:space="0" w:color="auto"/>
        <w:bottom w:val="none" w:sz="0" w:space="0" w:color="auto"/>
        <w:right w:val="none" w:sz="0" w:space="0" w:color="auto"/>
      </w:divBdr>
      <w:divsChild>
        <w:div w:id="541327430">
          <w:marLeft w:val="547"/>
          <w:marRight w:val="0"/>
          <w:marTop w:val="0"/>
          <w:marBottom w:val="0"/>
          <w:divBdr>
            <w:top w:val="none" w:sz="0" w:space="0" w:color="auto"/>
            <w:left w:val="none" w:sz="0" w:space="0" w:color="auto"/>
            <w:bottom w:val="none" w:sz="0" w:space="0" w:color="auto"/>
            <w:right w:val="none" w:sz="0" w:space="0" w:color="auto"/>
          </w:divBdr>
        </w:div>
        <w:div w:id="489103757">
          <w:marLeft w:val="547"/>
          <w:marRight w:val="0"/>
          <w:marTop w:val="0"/>
          <w:marBottom w:val="0"/>
          <w:divBdr>
            <w:top w:val="none" w:sz="0" w:space="0" w:color="auto"/>
            <w:left w:val="none" w:sz="0" w:space="0" w:color="auto"/>
            <w:bottom w:val="none" w:sz="0" w:space="0" w:color="auto"/>
            <w:right w:val="none" w:sz="0" w:space="0" w:color="auto"/>
          </w:divBdr>
        </w:div>
        <w:div w:id="936450905">
          <w:marLeft w:val="547"/>
          <w:marRight w:val="0"/>
          <w:marTop w:val="0"/>
          <w:marBottom w:val="0"/>
          <w:divBdr>
            <w:top w:val="none" w:sz="0" w:space="0" w:color="auto"/>
            <w:left w:val="none" w:sz="0" w:space="0" w:color="auto"/>
            <w:bottom w:val="none" w:sz="0" w:space="0" w:color="auto"/>
            <w:right w:val="none" w:sz="0" w:space="0" w:color="auto"/>
          </w:divBdr>
        </w:div>
      </w:divsChild>
    </w:div>
    <w:div w:id="911475543">
      <w:bodyDiv w:val="1"/>
      <w:marLeft w:val="0"/>
      <w:marRight w:val="0"/>
      <w:marTop w:val="0"/>
      <w:marBottom w:val="0"/>
      <w:divBdr>
        <w:top w:val="none" w:sz="0" w:space="0" w:color="auto"/>
        <w:left w:val="none" w:sz="0" w:space="0" w:color="auto"/>
        <w:bottom w:val="none" w:sz="0" w:space="0" w:color="auto"/>
        <w:right w:val="none" w:sz="0" w:space="0" w:color="auto"/>
      </w:divBdr>
    </w:div>
    <w:div w:id="1231308715">
      <w:bodyDiv w:val="1"/>
      <w:marLeft w:val="0"/>
      <w:marRight w:val="0"/>
      <w:marTop w:val="0"/>
      <w:marBottom w:val="0"/>
      <w:divBdr>
        <w:top w:val="none" w:sz="0" w:space="0" w:color="auto"/>
        <w:left w:val="none" w:sz="0" w:space="0" w:color="auto"/>
        <w:bottom w:val="none" w:sz="0" w:space="0" w:color="auto"/>
        <w:right w:val="none" w:sz="0" w:space="0" w:color="auto"/>
      </w:divBdr>
    </w:div>
    <w:div w:id="1731154327">
      <w:bodyDiv w:val="1"/>
      <w:marLeft w:val="0"/>
      <w:marRight w:val="0"/>
      <w:marTop w:val="0"/>
      <w:marBottom w:val="0"/>
      <w:divBdr>
        <w:top w:val="none" w:sz="0" w:space="0" w:color="auto"/>
        <w:left w:val="none" w:sz="0" w:space="0" w:color="auto"/>
        <w:bottom w:val="none" w:sz="0" w:space="0" w:color="auto"/>
        <w:right w:val="none" w:sz="0" w:space="0" w:color="auto"/>
      </w:divBdr>
      <w:divsChild>
        <w:div w:id="1441493770">
          <w:marLeft w:val="0"/>
          <w:marRight w:val="0"/>
          <w:marTop w:val="0"/>
          <w:marBottom w:val="300"/>
          <w:divBdr>
            <w:top w:val="none" w:sz="0" w:space="0" w:color="auto"/>
            <w:left w:val="none" w:sz="0" w:space="0" w:color="auto"/>
            <w:bottom w:val="none" w:sz="0" w:space="0" w:color="auto"/>
            <w:right w:val="none" w:sz="0" w:space="0" w:color="auto"/>
          </w:divBdr>
          <w:divsChild>
            <w:div w:id="703867742">
              <w:marLeft w:val="0"/>
              <w:marRight w:val="0"/>
              <w:marTop w:val="150"/>
              <w:marBottom w:val="0"/>
              <w:divBdr>
                <w:top w:val="none" w:sz="0" w:space="0" w:color="auto"/>
                <w:left w:val="none" w:sz="0" w:space="0" w:color="auto"/>
                <w:bottom w:val="none" w:sz="0" w:space="0" w:color="auto"/>
                <w:right w:val="none" w:sz="0" w:space="0" w:color="auto"/>
              </w:divBdr>
              <w:divsChild>
                <w:div w:id="37824029">
                  <w:marLeft w:val="0"/>
                  <w:marRight w:val="0"/>
                  <w:marTop w:val="0"/>
                  <w:marBottom w:val="0"/>
                  <w:divBdr>
                    <w:top w:val="none" w:sz="0" w:space="0" w:color="auto"/>
                    <w:left w:val="none" w:sz="0" w:space="0" w:color="auto"/>
                    <w:bottom w:val="none" w:sz="0" w:space="0" w:color="auto"/>
                    <w:right w:val="none" w:sz="0" w:space="0" w:color="auto"/>
                  </w:divBdr>
                  <w:divsChild>
                    <w:div w:id="1284535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1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5905">
          <w:marLeft w:val="547"/>
          <w:marRight w:val="0"/>
          <w:marTop w:val="0"/>
          <w:marBottom w:val="0"/>
          <w:divBdr>
            <w:top w:val="none" w:sz="0" w:space="0" w:color="auto"/>
            <w:left w:val="none" w:sz="0" w:space="0" w:color="auto"/>
            <w:bottom w:val="none" w:sz="0" w:space="0" w:color="auto"/>
            <w:right w:val="none" w:sz="0" w:space="0" w:color="auto"/>
          </w:divBdr>
        </w:div>
      </w:divsChild>
    </w:div>
    <w:div w:id="1813210597">
      <w:bodyDiv w:val="1"/>
      <w:marLeft w:val="0"/>
      <w:marRight w:val="0"/>
      <w:marTop w:val="0"/>
      <w:marBottom w:val="0"/>
      <w:divBdr>
        <w:top w:val="none" w:sz="0" w:space="0" w:color="auto"/>
        <w:left w:val="none" w:sz="0" w:space="0" w:color="auto"/>
        <w:bottom w:val="none" w:sz="0" w:space="0" w:color="auto"/>
        <w:right w:val="none" w:sz="0" w:space="0" w:color="auto"/>
      </w:divBdr>
      <w:divsChild>
        <w:div w:id="1583099653">
          <w:marLeft w:val="547"/>
          <w:marRight w:val="0"/>
          <w:marTop w:val="0"/>
          <w:marBottom w:val="0"/>
          <w:divBdr>
            <w:top w:val="none" w:sz="0" w:space="0" w:color="auto"/>
            <w:left w:val="none" w:sz="0" w:space="0" w:color="auto"/>
            <w:bottom w:val="none" w:sz="0" w:space="0" w:color="auto"/>
            <w:right w:val="none" w:sz="0" w:space="0" w:color="auto"/>
          </w:divBdr>
        </w:div>
      </w:divsChild>
    </w:div>
    <w:div w:id="19631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be.net/eis/default.htm" TargetMode="External"/><Relationship Id="rId18" Type="http://schemas.openxmlformats.org/officeDocument/2006/relationships/hyperlink" Target="http://www.illinoisreportcar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lga.gov/legislation/publicacts/fulltext.asp?Name=097-067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ilga.gov/legislation/ilcs/fulltext.asp?DocName=010500050K10-1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inoisreportcard.co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ilga.gov/legislation/publicacts/fulltext.asp?Name=097-1102" TargetMode="Externa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hyperlink" Target="http://www.isbe.net/assessment/pdfs/report_card/2013/comm/dist-scorecard-sampl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lga.gov/legislation/ilcs/fulltext.asp?DocName=010500050K10-17a"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agraphAfterLink xmlns="d21dc803-237d-4c68-8692-8d731fd29118" xsi:nil="true"/>
    <Archive_x0020_Date xmlns="6ce3111e-7420-4802-b50a-75d4e9a0b980">2024-01-18T06:00:00+00:00</Archive_x0020_Date>
    <Grouping xmlns="d21dc803-237d-4c68-8692-8d731fd29118">root</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 xsi:nil="true"/>
    <PublishingStartDate xmlns="http://schemas.microsoft.com/sharepoint/v3" xsi:nil="true"/>
    <TargetAudience xmlns="6ce3111e-7420-4802-b50a-75d4e9a0b980"/>
    <DisplayPage xmlns="d21dc803-237d-4c68-8692-8d731fd29118" xsi:nil="true"/>
    <Subgroup xmlns="d21dc803-237d-4c68-8692-8d731fd29118" xsi:nil="true"/>
    <Linked_x0020_on_x0020_Page xmlns="d21dc803-237d-4c68-8692-8d731fd29118">false</Linked_x0020_on_x0020_Page>
    <TaxKeywordTaxHTField xmlns="6ce3111e-7420-4802-b50a-75d4e9a0b980">
      <Terms xmlns="http://schemas.microsoft.com/office/infopath/2007/PartnerControls"/>
    </TaxKeywordTaxHTField>
    <OriginalModifiedDate xmlns="d21dc803-237d-4c68-8692-8d731fd29118" xsi:nil="true"/>
    <Year xmlns="d21dc803-237d-4c68-8692-8d731fd29118" xsi:nil="true"/>
    <MediaType xmlns="6ce3111e-7420-4802-b50a-75d4e9a0b980">
      <Value>10</Value>
    </MediaType>
    <TaxCatchAll xmlns="6ce3111e-7420-4802-b50a-75d4e9a0b980"/>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2016-11-13T16:18:31+00:00</ModifiedBeforeRun>
    <LifetimeViews xmlns="d21dc803-237d-4c68-8692-8d731fd29118">458</LifetimeViews>
    <Language xmlns="d21dc803-237d-4c68-8692-8d731fd29118" xsi:nil="true"/>
  </documentManagement>
</p:properties>
</file>

<file path=customXml/itemProps1.xml><?xml version="1.0" encoding="utf-8"?>
<ds:datastoreItem xmlns:ds="http://schemas.openxmlformats.org/officeDocument/2006/customXml" ds:itemID="{3E12271F-9CB3-49DA-92CD-E4D3E92C86DD}"/>
</file>

<file path=customXml/itemProps2.xml><?xml version="1.0" encoding="utf-8"?>
<ds:datastoreItem xmlns:ds="http://schemas.openxmlformats.org/officeDocument/2006/customXml" ds:itemID="{E05569DE-C8F0-4D6A-922B-EE234700F07A}"/>
</file>

<file path=customXml/itemProps3.xml><?xml version="1.0" encoding="utf-8"?>
<ds:datastoreItem xmlns:ds="http://schemas.openxmlformats.org/officeDocument/2006/customXml" ds:itemID="{58FD67EA-C979-440A-9379-AA11D8D516E5}"/>
</file>

<file path=customXml/itemProps4.xml><?xml version="1.0" encoding="utf-8"?>
<ds:datastoreItem xmlns:ds="http://schemas.openxmlformats.org/officeDocument/2006/customXml" ds:itemID="{36D71B00-C4AE-4F79-90B8-4EFA3E20123C}"/>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Ladage</dc:creator>
  <cp:lastModifiedBy>MURPHY TIMOTHY</cp:lastModifiedBy>
  <cp:revision>2</cp:revision>
  <cp:lastPrinted>2015-10-22T16:29:00Z</cp:lastPrinted>
  <dcterms:created xsi:type="dcterms:W3CDTF">2015-10-29T20:51:00Z</dcterms:created>
  <dcterms:modified xsi:type="dcterms:W3CDTF">2015-10-29T20:51:00Z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